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897" w:firstLineChars="700"/>
        <w:rPr>
          <w:rFonts w:ascii="宋体" w:hAnsi="宋体" w:eastAsia="宋体" w:cs="宋体"/>
          <w:b/>
          <w:bCs/>
          <w:kern w:val="0"/>
          <w:sz w:val="27"/>
          <w:szCs w:val="27"/>
        </w:rPr>
      </w:pPr>
      <w:r>
        <w:rPr>
          <w:rFonts w:hint="eastAsia" w:ascii="宋体" w:hAnsi="宋体" w:eastAsia="宋体" w:cs="宋体"/>
          <w:b/>
          <w:bCs/>
          <w:kern w:val="0"/>
          <w:sz w:val="27"/>
          <w:szCs w:val="27"/>
        </w:rPr>
        <w:t>宜宾市第</w:t>
      </w:r>
      <w:r>
        <w:rPr>
          <w:rFonts w:hint="eastAsia" w:ascii="宋体" w:hAnsi="宋体" w:eastAsia="宋体" w:cs="宋体"/>
          <w:b/>
          <w:bCs/>
          <w:kern w:val="0"/>
          <w:sz w:val="27"/>
          <w:szCs w:val="27"/>
          <w:lang w:eastAsia="zh-CN"/>
        </w:rPr>
        <w:t>南溪区大观镇中心卫生院</w:t>
      </w:r>
      <w:r>
        <w:rPr>
          <w:rFonts w:hint="eastAsia" w:ascii="宋体" w:hAnsi="宋体" w:eastAsia="宋体" w:cs="宋体"/>
          <w:b/>
          <w:bCs/>
          <w:kern w:val="0"/>
          <w:sz w:val="27"/>
          <w:szCs w:val="27"/>
        </w:rPr>
        <w:t>紧急采购负压救护车采购项目</w:t>
      </w:r>
    </w:p>
    <w:p>
      <w:pPr>
        <w:widowControl/>
        <w:shd w:val="clear" w:color="auto" w:fill="FFFFFF"/>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为应对新冠病毒感染肺炎疫情，根据医院采购计划要求，需紧急采购负压救护车一辆，欢迎符合资格要求的公司参加。　　　　　　</w:t>
      </w:r>
    </w:p>
    <w:p>
      <w:pPr>
        <w:widowControl/>
        <w:shd w:val="clear" w:color="auto" w:fill="FFFFFF"/>
        <w:jc w:val="left"/>
        <w:rPr>
          <w:rFonts w:ascii="宋体" w:hAnsi="宋体" w:eastAsia="宋体" w:cs="宋体"/>
          <w:color w:val="000000"/>
          <w:kern w:val="0"/>
          <w:sz w:val="24"/>
        </w:rPr>
      </w:pPr>
      <w:r>
        <w:rPr>
          <w:rFonts w:hint="eastAsia" w:ascii="宋体" w:hAnsi="宋体" w:eastAsia="宋体" w:cs="宋体"/>
          <w:color w:val="000000"/>
          <w:kern w:val="0"/>
          <w:sz w:val="24"/>
        </w:rPr>
        <w:t>一、招标内容：</w:t>
      </w:r>
      <w:r>
        <w:rPr>
          <w:rFonts w:hint="eastAsia" w:ascii="宋体" w:hAnsi="宋体" w:eastAsia="宋体" w:cs="宋体"/>
          <w:b/>
          <w:bCs/>
          <w:kern w:val="0"/>
          <w:sz w:val="24"/>
          <w:szCs w:val="27"/>
        </w:rPr>
        <w:t>宜宾市</w:t>
      </w:r>
      <w:r>
        <w:rPr>
          <w:rFonts w:hint="eastAsia" w:ascii="宋体" w:hAnsi="宋体" w:eastAsia="宋体" w:cs="宋体"/>
          <w:b/>
          <w:bCs/>
          <w:kern w:val="0"/>
          <w:sz w:val="24"/>
          <w:szCs w:val="27"/>
          <w:lang w:eastAsia="zh-CN"/>
        </w:rPr>
        <w:t>南溪区大观镇中心卫生院</w:t>
      </w:r>
      <w:r>
        <w:rPr>
          <w:rFonts w:hint="eastAsia" w:ascii="宋体" w:hAnsi="宋体" w:eastAsia="宋体" w:cs="宋体"/>
          <w:b/>
          <w:bCs/>
          <w:kern w:val="0"/>
          <w:sz w:val="24"/>
          <w:szCs w:val="27"/>
        </w:rPr>
        <w:t>紧急</w:t>
      </w:r>
      <w:r>
        <w:rPr>
          <w:rFonts w:ascii="宋体" w:hAnsi="宋体" w:eastAsia="宋体" w:cs="宋体"/>
          <w:b/>
          <w:bCs/>
          <w:kern w:val="0"/>
          <w:sz w:val="24"/>
          <w:szCs w:val="27"/>
        </w:rPr>
        <w:t>采购</w:t>
      </w:r>
      <w:r>
        <w:rPr>
          <w:rFonts w:hint="eastAsia" w:ascii="宋体" w:hAnsi="宋体" w:eastAsia="宋体" w:cs="宋体"/>
          <w:b/>
          <w:bCs/>
          <w:kern w:val="0"/>
          <w:sz w:val="27"/>
          <w:szCs w:val="27"/>
        </w:rPr>
        <w:t>负压救护车采购项目</w:t>
      </w:r>
      <w:r>
        <w:rPr>
          <w:rFonts w:hint="eastAsia" w:ascii="宋体" w:hAnsi="宋体" w:eastAsia="宋体" w:cs="宋体"/>
          <w:color w:val="000000"/>
          <w:kern w:val="0"/>
          <w:sz w:val="24"/>
        </w:rPr>
        <w:t>（详见下表采购清单）</w:t>
      </w:r>
    </w:p>
    <w:p>
      <w:pPr>
        <w:widowControl/>
        <w:shd w:val="clear" w:color="auto" w:fill="FFFFFF"/>
        <w:ind w:firstLine="1928" w:firstLineChars="800"/>
        <w:jc w:val="left"/>
        <w:rPr>
          <w:rFonts w:ascii="宋体" w:hAnsi="宋体" w:eastAsia="宋体" w:cs="宋体"/>
          <w:color w:val="000000"/>
          <w:kern w:val="0"/>
          <w:sz w:val="24"/>
        </w:rPr>
      </w:pPr>
      <w:r>
        <w:rPr>
          <w:rFonts w:hint="eastAsia" w:ascii="宋体" w:hAnsi="宋体" w:eastAsia="宋体" w:cs="宋体"/>
          <w:b/>
          <w:color w:val="000000"/>
          <w:kern w:val="0"/>
          <w:sz w:val="24"/>
        </w:rPr>
        <w:t>本项目最高限价：40万元</w:t>
      </w:r>
    </w:p>
    <w:p>
      <w:pPr>
        <w:widowControl/>
        <w:shd w:val="clear" w:color="auto" w:fill="FFFFFF"/>
        <w:jc w:val="left"/>
        <w:rPr>
          <w:rFonts w:ascii="宋体" w:hAnsi="宋体" w:eastAsia="宋体" w:cs="宋体"/>
          <w:color w:val="000000"/>
          <w:kern w:val="0"/>
          <w:sz w:val="24"/>
        </w:rPr>
      </w:pPr>
      <w:r>
        <w:rPr>
          <w:rFonts w:hint="eastAsia" w:ascii="宋体" w:hAnsi="宋体" w:eastAsia="宋体" w:cs="宋体"/>
          <w:color w:val="000000"/>
          <w:kern w:val="0"/>
          <w:sz w:val="24"/>
        </w:rPr>
        <w:t>二、采购清单及技术要求：</w:t>
      </w:r>
    </w:p>
    <w:p>
      <w:pPr>
        <w:pStyle w:val="2"/>
        <w:rPr>
          <w:rFonts w:ascii="宋体" w:hAnsi="宋体" w:eastAsia="宋体" w:cs="宋体"/>
          <w:sz w:val="24"/>
          <w:lang w:bidi="zh-CN"/>
        </w:rPr>
      </w:pPr>
      <w:r>
        <w:rPr>
          <w:rFonts w:hint="eastAsia" w:ascii="宋体" w:hAnsi="宋体" w:eastAsia="宋体" w:cs="宋体"/>
          <w:b/>
          <w:bCs/>
          <w:kern w:val="0"/>
          <w:sz w:val="27"/>
          <w:szCs w:val="27"/>
        </w:rPr>
        <w:t xml:space="preserve">     </w:t>
      </w:r>
      <w:r>
        <w:rPr>
          <w:rFonts w:hint="eastAsia" w:ascii="宋体" w:hAnsi="宋体" w:eastAsia="宋体" w:cs="宋体"/>
          <w:sz w:val="24"/>
          <w:lang w:bidi="zh-CN"/>
        </w:rPr>
        <w:t xml:space="preserve"> </w:t>
      </w:r>
      <w:r>
        <w:rPr>
          <w:rFonts w:hint="eastAsia" w:ascii="宋体" w:hAnsi="宋体" w:eastAsia="宋体" w:cs="宋体"/>
          <w:sz w:val="24"/>
          <w:lang w:val="zh-CN" w:bidi="zh-CN"/>
        </w:rPr>
        <w:t>宜宾市南溪区大观镇中心卫生院紧急</w:t>
      </w:r>
      <w:r>
        <w:rPr>
          <w:rFonts w:ascii="宋体" w:hAnsi="宋体" w:eastAsia="宋体" w:cs="宋体"/>
          <w:sz w:val="24"/>
          <w:lang w:val="zh-CN" w:bidi="zh-CN"/>
        </w:rPr>
        <w:t>采购</w:t>
      </w:r>
      <w:r>
        <w:rPr>
          <w:rFonts w:hint="eastAsia" w:ascii="宋体" w:hAnsi="宋体" w:eastAsia="宋体" w:cs="宋体"/>
          <w:sz w:val="24"/>
          <w:lang w:val="zh-CN" w:bidi="zh-CN"/>
        </w:rPr>
        <w:t>负压救护车一辆</w:t>
      </w:r>
    </w:p>
    <w:tbl>
      <w:tblPr>
        <w:tblStyle w:val="6"/>
        <w:tblW w:w="98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
        <w:gridCol w:w="2153"/>
        <w:gridCol w:w="3"/>
        <w:gridCol w:w="7649"/>
        <w:gridCol w:w="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624" w:hRule="atLeast"/>
          <w:jc w:val="center"/>
        </w:trPr>
        <w:tc>
          <w:tcPr>
            <w:tcW w:w="2158" w:type="dxa"/>
            <w:gridSpan w:val="2"/>
            <w:tcBorders>
              <w:left w:val="nil"/>
            </w:tcBorders>
            <w:vAlign w:val="center"/>
          </w:tcPr>
          <w:p>
            <w:pPr>
              <w:pStyle w:val="8"/>
              <w:spacing w:before="178"/>
              <w:ind w:left="14" w:leftChars="0" w:right="0" w:rightChars="0"/>
              <w:jc w:val="both"/>
              <w:rPr>
                <w:rFonts w:hint="eastAsia" w:ascii="微软雅黑" w:hAnsi="微软雅黑" w:eastAsia="微软雅黑" w:cs="微软雅黑"/>
                <w:sz w:val="21"/>
                <w:szCs w:val="21"/>
                <w:lang w:val="zh-CN" w:eastAsia="zh-CN" w:bidi="zh-CN"/>
              </w:rPr>
            </w:pPr>
            <w:r>
              <w:rPr>
                <w:rFonts w:hint="eastAsia" w:ascii="微软雅黑" w:hAnsi="微软雅黑" w:eastAsia="微软雅黑" w:cs="微软雅黑"/>
                <w:b/>
                <w:bCs/>
                <w:color w:val="000000"/>
                <w:kern w:val="0"/>
                <w:sz w:val="22"/>
                <w:szCs w:val="22"/>
                <w:lang w:val="en-US" w:eastAsia="zh-CN" w:bidi="ar"/>
              </w:rPr>
              <w:t>★</w:t>
            </w:r>
            <w:r>
              <w:rPr>
                <w:rFonts w:hint="eastAsia" w:ascii="微软雅黑" w:hAnsi="微软雅黑" w:eastAsia="微软雅黑" w:cs="微软雅黑"/>
                <w:sz w:val="21"/>
                <w:szCs w:val="21"/>
              </w:rPr>
              <w:t>车体尺寸</w:t>
            </w:r>
            <w:r>
              <w:rPr>
                <w:rFonts w:hint="eastAsia" w:ascii="微软雅黑" w:hAnsi="微软雅黑" w:eastAsia="微软雅黑" w:cs="微软雅黑"/>
                <w:sz w:val="21"/>
                <w:szCs w:val="21"/>
                <w:vertAlign w:val="baseline"/>
                <w:lang w:val="en-US" w:eastAsia="zh-CN"/>
              </w:rPr>
              <w:t>mm：</w:t>
            </w:r>
          </w:p>
        </w:tc>
        <w:tc>
          <w:tcPr>
            <w:tcW w:w="7652" w:type="dxa"/>
            <w:gridSpan w:val="2"/>
            <w:tcBorders>
              <w:right w:val="nil"/>
            </w:tcBorders>
            <w:vAlign w:val="center"/>
          </w:tcPr>
          <w:p>
            <w:pPr>
              <w:pStyle w:val="8"/>
              <w:spacing w:before="178"/>
              <w:ind w:left="5" w:leftChars="0" w:right="0" w:rightChars="0"/>
              <w:jc w:val="both"/>
              <w:rPr>
                <w:rFonts w:hint="eastAsia" w:ascii="微软雅黑" w:hAnsi="微软雅黑" w:eastAsia="微软雅黑" w:cs="微软雅黑"/>
                <w:sz w:val="21"/>
                <w:szCs w:val="21"/>
                <w:lang w:val="zh-CN" w:eastAsia="zh-CN" w:bidi="zh-CN"/>
              </w:rPr>
            </w:pPr>
            <w:r>
              <w:rPr>
                <w:rFonts w:hint="eastAsia" w:cs="微软雅黑"/>
                <w:sz w:val="21"/>
                <w:szCs w:val="21"/>
                <w:lang w:val="en-US" w:eastAsia="zh-CN"/>
              </w:rPr>
              <w:t>5820</w:t>
            </w:r>
            <w:r>
              <w:rPr>
                <w:rFonts w:hint="eastAsia" w:ascii="微软雅黑" w:hAnsi="微软雅黑" w:eastAsia="微软雅黑" w:cs="微软雅黑"/>
                <w:sz w:val="21"/>
                <w:szCs w:val="21"/>
              </w:rPr>
              <w:t>×</w:t>
            </w:r>
            <w:r>
              <w:rPr>
                <w:rFonts w:hint="eastAsia" w:cs="微软雅黑"/>
                <w:sz w:val="21"/>
                <w:szCs w:val="21"/>
                <w:lang w:val="en-US" w:eastAsia="zh-CN"/>
              </w:rPr>
              <w:t>1974</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2</w:t>
            </w:r>
            <w:r>
              <w:rPr>
                <w:rFonts w:hint="eastAsia" w:cs="微软雅黑"/>
                <w:sz w:val="21"/>
                <w:szCs w:val="21"/>
                <w:lang w:val="en-US" w:eastAsia="zh-CN"/>
              </w:rPr>
              <w:t>665（±5）</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长×宽×高</w:t>
            </w:r>
            <w:r>
              <w:rPr>
                <w:rFonts w:hint="eastAsia" w:ascii="微软雅黑" w:hAnsi="微软雅黑" w:eastAsia="微软雅黑" w:cs="微软雅黑"/>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624" w:hRule="atLeast"/>
          <w:jc w:val="center"/>
        </w:trPr>
        <w:tc>
          <w:tcPr>
            <w:tcW w:w="2158" w:type="dxa"/>
            <w:gridSpan w:val="2"/>
            <w:tcBorders>
              <w:left w:val="nil"/>
            </w:tcBorders>
            <w:vAlign w:val="center"/>
          </w:tcPr>
          <w:p>
            <w:pPr>
              <w:pStyle w:val="8"/>
              <w:spacing w:before="176"/>
              <w:ind w:left="14" w:leftChars="0" w:right="0" w:rightChars="0"/>
              <w:jc w:val="both"/>
              <w:rPr>
                <w:rFonts w:hint="eastAsia" w:ascii="微软雅黑" w:hAnsi="微软雅黑" w:eastAsia="微软雅黑" w:cs="微软雅黑"/>
                <w:sz w:val="21"/>
                <w:szCs w:val="21"/>
                <w:lang w:val="zh-CN" w:eastAsia="zh-CN" w:bidi="zh-CN"/>
              </w:rPr>
            </w:pPr>
            <w:r>
              <w:rPr>
                <w:rFonts w:hint="eastAsia" w:ascii="微软雅黑" w:hAnsi="微软雅黑" w:eastAsia="微软雅黑" w:cs="微软雅黑"/>
                <w:sz w:val="21"/>
                <w:szCs w:val="21"/>
              </w:rPr>
              <w:t>医疗舱尺寸</w:t>
            </w:r>
            <w:r>
              <w:rPr>
                <w:rFonts w:hint="eastAsia" w:ascii="微软雅黑" w:hAnsi="微软雅黑" w:eastAsia="微软雅黑" w:cs="微软雅黑"/>
                <w:sz w:val="21"/>
                <w:szCs w:val="21"/>
                <w:vertAlign w:val="baseline"/>
                <w:lang w:val="en-US" w:eastAsia="zh-CN"/>
              </w:rPr>
              <w:t>mm：</w:t>
            </w:r>
          </w:p>
        </w:tc>
        <w:tc>
          <w:tcPr>
            <w:tcW w:w="7652" w:type="dxa"/>
            <w:gridSpan w:val="2"/>
            <w:tcBorders>
              <w:right w:val="nil"/>
            </w:tcBorders>
            <w:vAlign w:val="center"/>
          </w:tcPr>
          <w:p>
            <w:pPr>
              <w:pStyle w:val="8"/>
              <w:spacing w:before="176"/>
              <w:ind w:left="5" w:leftChars="0" w:right="0" w:rightChars="0"/>
              <w:jc w:val="both"/>
              <w:rPr>
                <w:rFonts w:hint="eastAsia" w:ascii="微软雅黑" w:hAnsi="微软雅黑" w:eastAsia="微软雅黑" w:cs="微软雅黑"/>
                <w:sz w:val="21"/>
                <w:szCs w:val="21"/>
                <w:lang w:val="zh-CN" w:eastAsia="zh-CN" w:bidi="zh-CN"/>
              </w:rPr>
            </w:pPr>
            <w:r>
              <w:rPr>
                <w:rFonts w:hint="eastAsia" w:cs="微软雅黑"/>
                <w:sz w:val="21"/>
                <w:szCs w:val="21"/>
                <w:lang w:val="en-US" w:eastAsia="zh-CN"/>
              </w:rPr>
              <w:t>3200</w:t>
            </w:r>
            <w:r>
              <w:rPr>
                <w:rFonts w:hint="eastAsia" w:ascii="微软雅黑" w:hAnsi="微软雅黑" w:eastAsia="微软雅黑" w:cs="微软雅黑"/>
                <w:sz w:val="21"/>
                <w:szCs w:val="21"/>
              </w:rPr>
              <w:t>*17</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0*1</w:t>
            </w:r>
            <w:r>
              <w:rPr>
                <w:rFonts w:hint="eastAsia" w:cs="微软雅黑"/>
                <w:sz w:val="21"/>
                <w:szCs w:val="21"/>
                <w:lang w:val="en-US" w:eastAsia="zh-CN"/>
              </w:rPr>
              <w:t>800</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长×宽×高</w:t>
            </w:r>
            <w:r>
              <w:rPr>
                <w:rFonts w:hint="eastAsia" w:ascii="微软雅黑" w:hAnsi="微软雅黑" w:eastAsia="微软雅黑" w:cs="微软雅黑"/>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624" w:hRule="atLeast"/>
          <w:jc w:val="center"/>
        </w:trPr>
        <w:tc>
          <w:tcPr>
            <w:tcW w:w="2158" w:type="dxa"/>
            <w:gridSpan w:val="2"/>
            <w:tcBorders>
              <w:left w:val="nil"/>
            </w:tcBorders>
            <w:vAlign w:val="center"/>
          </w:tcPr>
          <w:p>
            <w:pPr>
              <w:pStyle w:val="8"/>
              <w:tabs>
                <w:tab w:val="left" w:pos="645"/>
              </w:tabs>
              <w:spacing w:before="178"/>
              <w:ind w:left="14" w:leftChars="0" w:right="0" w:rightChars="0"/>
              <w:jc w:val="both"/>
              <w:rPr>
                <w:rFonts w:hint="eastAsia" w:ascii="微软雅黑" w:hAnsi="微软雅黑" w:eastAsia="微软雅黑" w:cs="微软雅黑"/>
                <w:sz w:val="21"/>
                <w:szCs w:val="21"/>
                <w:lang w:val="zh-CN" w:eastAsia="zh-CN" w:bidi="zh-CN"/>
              </w:rPr>
            </w:pPr>
            <w:r>
              <w:rPr>
                <w:rFonts w:hint="eastAsia" w:ascii="微软雅黑" w:hAnsi="微软雅黑" w:eastAsia="微软雅黑" w:cs="微软雅黑"/>
                <w:sz w:val="21"/>
                <w:szCs w:val="21"/>
              </w:rPr>
              <w:t>轴</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t>距</w:t>
            </w:r>
            <w:r>
              <w:rPr>
                <w:rFonts w:hint="eastAsia" w:ascii="微软雅黑" w:hAnsi="微软雅黑" w:eastAsia="微软雅黑" w:cs="微软雅黑"/>
                <w:sz w:val="21"/>
                <w:szCs w:val="21"/>
                <w:vertAlign w:val="baseline"/>
                <w:lang w:val="en-US" w:eastAsia="zh-CN"/>
              </w:rPr>
              <w:t>mm：</w:t>
            </w:r>
          </w:p>
        </w:tc>
        <w:tc>
          <w:tcPr>
            <w:tcW w:w="7652" w:type="dxa"/>
            <w:gridSpan w:val="2"/>
            <w:tcBorders>
              <w:right w:val="nil"/>
            </w:tcBorders>
            <w:vAlign w:val="center"/>
          </w:tcPr>
          <w:p>
            <w:pPr>
              <w:pStyle w:val="8"/>
              <w:spacing w:before="178"/>
              <w:ind w:left="5" w:leftChars="0" w:right="0" w:rightChars="0"/>
              <w:jc w:val="both"/>
              <w:rPr>
                <w:rFonts w:hint="default" w:ascii="微软雅黑" w:hAnsi="微软雅黑" w:eastAsia="微软雅黑" w:cs="微软雅黑"/>
                <w:sz w:val="21"/>
                <w:szCs w:val="21"/>
                <w:lang w:val="en-US" w:eastAsia="zh-CN" w:bidi="zh-CN"/>
              </w:rPr>
            </w:pPr>
            <w:r>
              <w:rPr>
                <w:rFonts w:hint="eastAsia" w:ascii="微软雅黑" w:hAnsi="微软雅黑" w:eastAsia="微软雅黑" w:cs="微软雅黑"/>
                <w:sz w:val="21"/>
                <w:szCs w:val="21"/>
                <w:lang w:val="en-US" w:eastAsia="zh-CN"/>
              </w:rPr>
              <w:t>3</w:t>
            </w:r>
            <w:r>
              <w:rPr>
                <w:rFonts w:hint="eastAsia" w:cs="微软雅黑"/>
                <w:sz w:val="21"/>
                <w:szCs w:val="21"/>
                <w:lang w:val="en-US" w:eastAsia="zh-CN"/>
              </w:rPr>
              <w:t>750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623" w:hRule="atLeast"/>
          <w:jc w:val="center"/>
        </w:trPr>
        <w:tc>
          <w:tcPr>
            <w:tcW w:w="2158" w:type="dxa"/>
            <w:gridSpan w:val="2"/>
            <w:tcBorders>
              <w:left w:val="nil"/>
            </w:tcBorders>
            <w:vAlign w:val="center"/>
          </w:tcPr>
          <w:p>
            <w:pPr>
              <w:pStyle w:val="8"/>
              <w:spacing w:before="167"/>
              <w:ind w:left="14" w:leftChars="0" w:right="0" w:rightChars="0"/>
              <w:jc w:val="both"/>
              <w:rPr>
                <w:rFonts w:hint="eastAsia" w:ascii="微软雅黑" w:hAnsi="微软雅黑" w:eastAsia="微软雅黑" w:cs="微软雅黑"/>
                <w:sz w:val="21"/>
                <w:szCs w:val="21"/>
                <w:lang w:val="en-US" w:eastAsia="zh-CN" w:bidi="zh-CN"/>
              </w:rPr>
            </w:pPr>
            <w:r>
              <w:rPr>
                <w:rFonts w:hint="eastAsia" w:ascii="微软雅黑" w:hAnsi="微软雅黑" w:eastAsia="微软雅黑" w:cs="微软雅黑"/>
                <w:b/>
                <w:bCs/>
                <w:color w:val="000000"/>
                <w:kern w:val="0"/>
                <w:sz w:val="22"/>
                <w:szCs w:val="22"/>
                <w:lang w:val="en-US" w:eastAsia="zh-CN" w:bidi="ar"/>
              </w:rPr>
              <w:t>★</w:t>
            </w:r>
            <w:r>
              <w:rPr>
                <w:rFonts w:hint="eastAsia" w:ascii="微软雅黑" w:hAnsi="微软雅黑" w:eastAsia="微软雅黑" w:cs="微软雅黑"/>
                <w:sz w:val="21"/>
                <w:szCs w:val="21"/>
              </w:rPr>
              <w:t>最大总质量</w:t>
            </w:r>
            <w:r>
              <w:rPr>
                <w:rFonts w:hint="eastAsia" w:ascii="微软雅黑" w:hAnsi="微软雅黑" w:eastAsia="微软雅黑" w:cs="微软雅黑"/>
                <w:sz w:val="21"/>
                <w:szCs w:val="21"/>
                <w:lang w:val="en-US" w:eastAsia="zh-CN"/>
              </w:rPr>
              <w:t>kg:</w:t>
            </w:r>
          </w:p>
        </w:tc>
        <w:tc>
          <w:tcPr>
            <w:tcW w:w="7652" w:type="dxa"/>
            <w:gridSpan w:val="2"/>
            <w:tcBorders>
              <w:right w:val="nil"/>
            </w:tcBorders>
            <w:vAlign w:val="center"/>
          </w:tcPr>
          <w:p>
            <w:pPr>
              <w:pStyle w:val="8"/>
              <w:spacing w:before="167"/>
              <w:ind w:left="0" w:leftChars="0" w:right="0" w:rightChars="0"/>
              <w:jc w:val="both"/>
              <w:rPr>
                <w:rFonts w:hint="eastAsia" w:ascii="微软雅黑" w:hAnsi="微软雅黑" w:eastAsia="微软雅黑" w:cs="微软雅黑"/>
                <w:sz w:val="21"/>
                <w:szCs w:val="21"/>
                <w:lang w:val="zh-CN" w:eastAsia="zh-CN" w:bidi="zh-CN"/>
              </w:rPr>
            </w:pPr>
            <w:r>
              <w:rPr>
                <w:rFonts w:hint="eastAsia" w:ascii="微软雅黑" w:hAnsi="微软雅黑" w:eastAsia="微软雅黑" w:cs="微软雅黑"/>
                <w:sz w:val="21"/>
                <w:szCs w:val="21"/>
              </w:rPr>
              <w:t>3</w:t>
            </w:r>
            <w:r>
              <w:rPr>
                <w:rFonts w:hint="eastAsia" w:cs="微软雅黑"/>
                <w:sz w:val="21"/>
                <w:szCs w:val="21"/>
                <w:lang w:val="en-US" w:eastAsia="zh-CN"/>
              </w:rPr>
              <w:t>7</w:t>
            </w:r>
            <w:r>
              <w:rPr>
                <w:rFonts w:hint="eastAsia" w:ascii="微软雅黑" w:hAnsi="微软雅黑" w:eastAsia="微软雅黑" w:cs="微软雅黑"/>
                <w:sz w:val="21"/>
                <w:szCs w:val="21"/>
                <w:lang w:val="en-US" w:eastAsia="zh-CN"/>
              </w:rPr>
              <w:t>00</w:t>
            </w:r>
            <w:r>
              <w:rPr>
                <w:rFonts w:hint="eastAsia" w:cs="微软雅黑"/>
                <w:sz w:val="21"/>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633" w:hRule="atLeast"/>
          <w:jc w:val="center"/>
        </w:trPr>
        <w:tc>
          <w:tcPr>
            <w:tcW w:w="2158" w:type="dxa"/>
            <w:gridSpan w:val="2"/>
            <w:tcBorders>
              <w:left w:val="nil"/>
            </w:tcBorders>
            <w:vAlign w:val="center"/>
          </w:tcPr>
          <w:p>
            <w:pPr>
              <w:pStyle w:val="8"/>
              <w:spacing w:before="166"/>
              <w:ind w:left="14" w:leftChars="0" w:right="0" w:rightChars="0"/>
              <w:jc w:val="both"/>
              <w:rPr>
                <w:rFonts w:hint="eastAsia" w:ascii="微软雅黑" w:hAnsi="微软雅黑" w:eastAsia="微软雅黑" w:cs="微软雅黑"/>
                <w:sz w:val="21"/>
                <w:szCs w:val="21"/>
                <w:lang w:val="en-US" w:eastAsia="zh-CN" w:bidi="zh-CN"/>
              </w:rPr>
            </w:pPr>
            <w:r>
              <w:rPr>
                <w:rFonts w:hint="eastAsia" w:ascii="微软雅黑" w:hAnsi="微软雅黑" w:eastAsia="微软雅黑" w:cs="微软雅黑"/>
                <w:b/>
                <w:bCs/>
                <w:color w:val="000000"/>
                <w:kern w:val="0"/>
                <w:sz w:val="22"/>
                <w:szCs w:val="22"/>
                <w:lang w:val="en-US" w:eastAsia="zh-CN" w:bidi="ar"/>
              </w:rPr>
              <w:t>★</w:t>
            </w:r>
            <w:r>
              <w:rPr>
                <w:rFonts w:hint="eastAsia" w:ascii="微软雅黑" w:hAnsi="微软雅黑" w:eastAsia="微软雅黑" w:cs="微软雅黑"/>
                <w:sz w:val="21"/>
                <w:szCs w:val="21"/>
                <w:lang w:val="zh-CN" w:eastAsia="zh-CN" w:bidi="zh-CN"/>
              </w:rPr>
              <w:t>整备质量</w:t>
            </w:r>
            <w:r>
              <w:rPr>
                <w:rFonts w:hint="eastAsia" w:ascii="微软雅黑" w:hAnsi="微软雅黑" w:eastAsia="微软雅黑" w:cs="微软雅黑"/>
                <w:sz w:val="21"/>
                <w:szCs w:val="21"/>
                <w:lang w:val="en-US" w:eastAsia="zh-CN" w:bidi="zh-CN"/>
              </w:rPr>
              <w:t>kg:</w:t>
            </w:r>
          </w:p>
        </w:tc>
        <w:tc>
          <w:tcPr>
            <w:tcW w:w="7652" w:type="dxa"/>
            <w:gridSpan w:val="2"/>
            <w:tcBorders>
              <w:right w:val="nil"/>
            </w:tcBorders>
            <w:vAlign w:val="center"/>
          </w:tcPr>
          <w:p>
            <w:pPr>
              <w:pStyle w:val="8"/>
              <w:spacing w:before="166"/>
              <w:ind w:left="0" w:leftChars="0" w:right="0" w:rightChars="0"/>
              <w:jc w:val="both"/>
              <w:rPr>
                <w:rFonts w:hint="default" w:ascii="微软雅黑" w:hAnsi="微软雅黑" w:eastAsia="微软雅黑" w:cs="微软雅黑"/>
                <w:sz w:val="21"/>
                <w:szCs w:val="21"/>
                <w:lang w:val="en-US" w:eastAsia="zh-CN" w:bidi="zh-CN"/>
              </w:rPr>
            </w:pPr>
            <w:r>
              <w:rPr>
                <w:rFonts w:hint="eastAsia" w:cs="微软雅黑"/>
                <w:sz w:val="21"/>
                <w:szCs w:val="21"/>
                <w:lang w:val="en-US" w:eastAsia="zh-CN" w:bidi="zh-CN"/>
              </w:rPr>
              <w:t>2690</w:t>
            </w:r>
            <w:r>
              <w:rPr>
                <w:rFonts w:hint="eastAsia" w:cs="微软雅黑"/>
                <w:sz w:val="21"/>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635" w:hRule="atLeast"/>
          <w:jc w:val="center"/>
        </w:trPr>
        <w:tc>
          <w:tcPr>
            <w:tcW w:w="2158" w:type="dxa"/>
            <w:gridSpan w:val="2"/>
            <w:tcBorders>
              <w:left w:val="nil"/>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both"/>
              <w:textAlignment w:val="auto"/>
              <w:rPr>
                <w:rFonts w:hint="eastAsia" w:ascii="微软雅黑" w:hAnsi="微软雅黑" w:eastAsia="微软雅黑" w:cs="微软雅黑"/>
                <w:sz w:val="21"/>
                <w:szCs w:val="21"/>
                <w:vertAlign w:val="baseline"/>
                <w:lang w:val="en-US" w:eastAsia="zh-CN" w:bidi="zh-CN"/>
              </w:rPr>
            </w:pPr>
            <w:r>
              <w:rPr>
                <w:rFonts w:hint="eastAsia" w:ascii="微软雅黑" w:hAnsi="微软雅黑" w:eastAsia="微软雅黑" w:cs="微软雅黑"/>
                <w:sz w:val="21"/>
                <w:szCs w:val="21"/>
                <w:vertAlign w:val="baseline"/>
                <w:lang w:val="en-US" w:eastAsia="zh-CN"/>
              </w:rPr>
              <w:t>悬挂系统:</w:t>
            </w:r>
          </w:p>
        </w:tc>
        <w:tc>
          <w:tcPr>
            <w:tcW w:w="7652" w:type="dxa"/>
            <w:gridSpan w:val="2"/>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both"/>
              <w:textAlignment w:val="auto"/>
              <w:rPr>
                <w:rFonts w:hint="eastAsia" w:ascii="微软雅黑" w:hAnsi="微软雅黑" w:eastAsia="微软雅黑" w:cs="微软雅黑"/>
                <w:sz w:val="21"/>
                <w:szCs w:val="21"/>
                <w:vertAlign w:val="baseline"/>
                <w:lang w:val="zh-CN" w:eastAsia="zh-CN" w:bidi="zh-CN"/>
              </w:rPr>
            </w:pPr>
            <w:r>
              <w:rPr>
                <w:rFonts w:hint="eastAsia" w:ascii="微软雅黑" w:hAnsi="微软雅黑" w:eastAsia="微软雅黑" w:cs="微软雅黑"/>
                <w:sz w:val="21"/>
                <w:szCs w:val="21"/>
                <w:vertAlign w:val="baseline"/>
                <w:lang w:val="en-US" w:eastAsia="zh-CN"/>
              </w:rPr>
              <w:t>前悬麦弗逊独立悬挂，</w:t>
            </w:r>
            <w:r>
              <w:rPr>
                <w:rFonts w:hint="eastAsia" w:cs="微软雅黑"/>
                <w:sz w:val="21"/>
                <w:szCs w:val="21"/>
                <w:vertAlign w:val="baseline"/>
                <w:lang w:val="en-US" w:eastAsia="zh-CN"/>
              </w:rPr>
              <w:t>后扭力梁式非独立悬挂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633" w:hRule="atLeast"/>
          <w:jc w:val="center"/>
        </w:trPr>
        <w:tc>
          <w:tcPr>
            <w:tcW w:w="2158" w:type="dxa"/>
            <w:gridSpan w:val="2"/>
            <w:tcBorders>
              <w:left w:val="nil"/>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both"/>
              <w:textAlignment w:val="auto"/>
              <w:rPr>
                <w:rFonts w:hint="eastAsia" w:ascii="微软雅黑" w:hAnsi="微软雅黑" w:eastAsia="微软雅黑" w:cs="微软雅黑"/>
                <w:sz w:val="21"/>
                <w:szCs w:val="21"/>
                <w:vertAlign w:val="baseline"/>
                <w:lang w:val="en-US" w:eastAsia="zh-CN" w:bidi="zh-CN"/>
              </w:rPr>
            </w:pPr>
            <w:r>
              <w:rPr>
                <w:rFonts w:hint="eastAsia" w:ascii="微软雅黑" w:hAnsi="微软雅黑" w:eastAsia="微软雅黑" w:cs="微软雅黑"/>
                <w:sz w:val="21"/>
                <w:szCs w:val="21"/>
                <w:vertAlign w:val="baseline"/>
                <w:lang w:val="en-US" w:eastAsia="zh-CN"/>
              </w:rPr>
              <w:t>最小离地间隙mm：</w:t>
            </w:r>
          </w:p>
        </w:tc>
        <w:tc>
          <w:tcPr>
            <w:tcW w:w="7652" w:type="dxa"/>
            <w:gridSpan w:val="2"/>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both"/>
              <w:textAlignment w:val="auto"/>
              <w:rPr>
                <w:rFonts w:hint="default" w:ascii="微软雅黑" w:hAnsi="微软雅黑" w:eastAsia="微软雅黑" w:cs="微软雅黑"/>
                <w:sz w:val="21"/>
                <w:szCs w:val="21"/>
                <w:vertAlign w:val="baseline"/>
                <w:lang w:val="en-US" w:eastAsia="zh-CN" w:bidi="zh-CN"/>
              </w:rPr>
            </w:pPr>
            <w:r>
              <w:rPr>
                <w:rFonts w:hint="eastAsia" w:cs="微软雅黑"/>
                <w:sz w:val="21"/>
                <w:szCs w:val="21"/>
                <w:vertAlign w:val="baseline"/>
                <w:lang w:val="en-US" w:eastAsia="zh-CN"/>
              </w:rPr>
              <w:t>195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633" w:hRule="atLeast"/>
          <w:jc w:val="center"/>
        </w:trPr>
        <w:tc>
          <w:tcPr>
            <w:tcW w:w="2158" w:type="dxa"/>
            <w:gridSpan w:val="2"/>
            <w:tcBorders>
              <w:left w:val="nil"/>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both"/>
              <w:textAlignment w:val="auto"/>
              <w:rPr>
                <w:rFonts w:hint="eastAsia" w:ascii="微软雅黑" w:hAnsi="微软雅黑" w:eastAsia="微软雅黑" w:cs="微软雅黑"/>
                <w:sz w:val="21"/>
                <w:szCs w:val="21"/>
                <w:vertAlign w:val="baseline"/>
                <w:lang w:val="en-US" w:eastAsia="zh-CN" w:bidi="zh-CN"/>
              </w:rPr>
            </w:pPr>
            <w:r>
              <w:rPr>
                <w:rFonts w:hint="eastAsia" w:ascii="微软雅黑" w:hAnsi="微软雅黑" w:eastAsia="微软雅黑" w:cs="微软雅黑"/>
                <w:sz w:val="21"/>
                <w:szCs w:val="21"/>
                <w:vertAlign w:val="baseline"/>
                <w:lang w:val="en-US" w:eastAsia="zh-CN"/>
              </w:rPr>
              <w:t>最小转弯半径mm：</w:t>
            </w:r>
          </w:p>
        </w:tc>
        <w:tc>
          <w:tcPr>
            <w:tcW w:w="7652" w:type="dxa"/>
            <w:gridSpan w:val="2"/>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both"/>
              <w:textAlignment w:val="auto"/>
              <w:rPr>
                <w:rFonts w:hint="default" w:ascii="微软雅黑" w:hAnsi="微软雅黑" w:eastAsia="微软雅黑" w:cs="微软雅黑"/>
                <w:sz w:val="21"/>
                <w:szCs w:val="21"/>
                <w:vertAlign w:val="baseline"/>
                <w:lang w:val="en-US" w:eastAsia="zh-CN" w:bidi="zh-CN"/>
              </w:rPr>
            </w:pPr>
            <w:r>
              <w:rPr>
                <w:rFonts w:hint="eastAsia" w:cs="微软雅黑"/>
                <w:sz w:val="21"/>
                <w:szCs w:val="21"/>
                <w:vertAlign w:val="baseline"/>
                <w:lang w:val="en-US" w:eastAsia="zh-CN"/>
              </w:rPr>
              <w:t>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635" w:hRule="atLeast"/>
          <w:jc w:val="center"/>
        </w:trPr>
        <w:tc>
          <w:tcPr>
            <w:tcW w:w="2158" w:type="dxa"/>
            <w:gridSpan w:val="2"/>
            <w:tcBorders>
              <w:left w:val="nil"/>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both"/>
              <w:textAlignment w:val="auto"/>
              <w:rPr>
                <w:rFonts w:hint="eastAsia" w:ascii="微软雅黑" w:hAnsi="微软雅黑" w:eastAsia="微软雅黑" w:cs="微软雅黑"/>
                <w:sz w:val="21"/>
                <w:szCs w:val="21"/>
                <w:vertAlign w:val="baseline"/>
                <w:lang w:val="en-US" w:eastAsia="zh-CN" w:bidi="zh-CN"/>
              </w:rPr>
            </w:pPr>
            <w:r>
              <w:rPr>
                <w:rFonts w:hint="eastAsia" w:ascii="微软雅黑" w:hAnsi="微软雅黑" w:eastAsia="微软雅黑" w:cs="微软雅黑"/>
                <w:sz w:val="21"/>
                <w:szCs w:val="21"/>
                <w:vertAlign w:val="baseline"/>
                <w:lang w:val="en-US" w:eastAsia="zh-CN"/>
              </w:rPr>
              <w:t>燃油种类：</w:t>
            </w:r>
          </w:p>
        </w:tc>
        <w:tc>
          <w:tcPr>
            <w:tcW w:w="7652" w:type="dxa"/>
            <w:gridSpan w:val="2"/>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both"/>
              <w:textAlignment w:val="auto"/>
              <w:rPr>
                <w:rFonts w:hint="eastAsia" w:ascii="微软雅黑" w:hAnsi="微软雅黑" w:eastAsia="微软雅黑" w:cs="微软雅黑"/>
                <w:sz w:val="21"/>
                <w:szCs w:val="21"/>
                <w:vertAlign w:val="baseline"/>
                <w:lang w:val="en-US" w:eastAsia="zh-CN" w:bidi="zh-CN"/>
              </w:rPr>
            </w:pPr>
            <w:r>
              <w:rPr>
                <w:rFonts w:hint="eastAsia" w:cs="微软雅黑"/>
                <w:sz w:val="21"/>
                <w:szCs w:val="21"/>
                <w:vertAlign w:val="baseline"/>
                <w:lang w:val="en-US" w:eastAsia="zh-CN" w:bidi="zh-CN"/>
              </w:rPr>
              <w:t>柴油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633" w:hRule="atLeast"/>
          <w:jc w:val="center"/>
        </w:trPr>
        <w:tc>
          <w:tcPr>
            <w:tcW w:w="2158" w:type="dxa"/>
            <w:gridSpan w:val="2"/>
            <w:tcBorders>
              <w:left w:val="nil"/>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both"/>
              <w:textAlignment w:val="auto"/>
              <w:rPr>
                <w:rFonts w:hint="eastAsia" w:ascii="微软雅黑" w:hAnsi="微软雅黑" w:eastAsia="微软雅黑" w:cs="微软雅黑"/>
                <w:sz w:val="21"/>
                <w:szCs w:val="21"/>
                <w:vertAlign w:val="baseline"/>
                <w:lang w:val="en-US" w:eastAsia="zh-CN" w:bidi="zh-CN"/>
              </w:rPr>
            </w:pPr>
            <w:r>
              <w:rPr>
                <w:rFonts w:hint="eastAsia" w:ascii="微软雅黑" w:hAnsi="微软雅黑" w:eastAsia="微软雅黑" w:cs="微软雅黑"/>
                <w:sz w:val="21"/>
                <w:szCs w:val="21"/>
                <w:vertAlign w:val="baseline"/>
                <w:lang w:val="en-US" w:eastAsia="zh-CN"/>
              </w:rPr>
              <w:t>油箱容积（L）：</w:t>
            </w:r>
          </w:p>
        </w:tc>
        <w:tc>
          <w:tcPr>
            <w:tcW w:w="7652" w:type="dxa"/>
            <w:gridSpan w:val="2"/>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both"/>
              <w:textAlignment w:val="auto"/>
              <w:rPr>
                <w:rFonts w:hint="eastAsia" w:ascii="微软雅黑" w:hAnsi="微软雅黑" w:eastAsia="微软雅黑" w:cs="微软雅黑"/>
                <w:sz w:val="21"/>
                <w:szCs w:val="21"/>
                <w:vertAlign w:val="baseline"/>
                <w:lang w:val="en-US" w:eastAsia="zh-CN" w:bidi="zh-CN"/>
              </w:rPr>
            </w:pPr>
            <w:r>
              <w:rPr>
                <w:rFonts w:hint="eastAsia" w:ascii="微软雅黑" w:hAnsi="微软雅黑" w:eastAsia="微软雅黑" w:cs="微软雅黑"/>
                <w:sz w:val="21"/>
                <w:szCs w:val="21"/>
                <w:vertAlign w:val="baseline"/>
                <w:lang w:val="en-US" w:eastAsia="zh-CN"/>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633" w:hRule="atLeast"/>
          <w:jc w:val="center"/>
        </w:trPr>
        <w:tc>
          <w:tcPr>
            <w:tcW w:w="2158" w:type="dxa"/>
            <w:gridSpan w:val="2"/>
            <w:tcBorders>
              <w:left w:val="nil"/>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both"/>
              <w:textAlignment w:val="auto"/>
              <w:rPr>
                <w:rFonts w:hint="eastAsia" w:ascii="微软雅黑" w:hAnsi="微软雅黑" w:eastAsia="微软雅黑" w:cs="微软雅黑"/>
                <w:sz w:val="21"/>
                <w:szCs w:val="21"/>
                <w:vertAlign w:val="baseline"/>
                <w:lang w:val="en-US" w:eastAsia="zh-CN" w:bidi="zh-CN"/>
              </w:rPr>
            </w:pPr>
            <w:r>
              <w:rPr>
                <w:rFonts w:hint="eastAsia" w:ascii="微软雅黑" w:hAnsi="微软雅黑" w:eastAsia="微软雅黑" w:cs="微软雅黑"/>
                <w:sz w:val="21"/>
                <w:szCs w:val="21"/>
                <w:vertAlign w:val="baseline"/>
                <w:lang w:val="en-US" w:eastAsia="zh-CN"/>
              </w:rPr>
              <w:t>发动机</w:t>
            </w:r>
          </w:p>
        </w:tc>
        <w:tc>
          <w:tcPr>
            <w:tcW w:w="7652" w:type="dxa"/>
            <w:gridSpan w:val="2"/>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both"/>
              <w:textAlignment w:val="auto"/>
              <w:rPr>
                <w:rFonts w:hint="eastAsia" w:ascii="微软雅黑" w:hAnsi="微软雅黑" w:eastAsia="微软雅黑" w:cs="微软雅黑"/>
                <w:sz w:val="21"/>
                <w:szCs w:val="21"/>
                <w:vertAlign w:val="baseline"/>
                <w:lang w:val="en-US" w:eastAsia="zh-CN" w:bidi="zh-CN"/>
              </w:rPr>
            </w:pPr>
            <w:r>
              <w:rPr>
                <w:rFonts w:hint="eastAsia" w:ascii="微软雅黑" w:hAnsi="微软雅黑" w:eastAsia="微软雅黑" w:cs="微软雅黑"/>
                <w:sz w:val="21"/>
                <w:szCs w:val="21"/>
                <w:vertAlign w:val="baseline"/>
                <w:lang w:val="en-US" w:eastAsia="zh-CN"/>
              </w:rPr>
              <w:t>柴油发动机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635" w:hRule="atLeast"/>
          <w:jc w:val="center"/>
        </w:trPr>
        <w:tc>
          <w:tcPr>
            <w:tcW w:w="2158" w:type="dxa"/>
            <w:gridSpan w:val="2"/>
            <w:tcBorders>
              <w:left w:val="nil"/>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both"/>
              <w:textAlignment w:val="auto"/>
              <w:rPr>
                <w:rFonts w:hint="eastAsia" w:ascii="微软雅黑" w:hAnsi="微软雅黑" w:eastAsia="微软雅黑" w:cs="微软雅黑"/>
                <w:sz w:val="21"/>
                <w:szCs w:val="21"/>
                <w:vertAlign w:val="baseline"/>
                <w:lang w:val="en-US" w:eastAsia="zh-CN" w:bidi="zh-CN"/>
              </w:rPr>
            </w:pPr>
            <w:r>
              <w:rPr>
                <w:rFonts w:hint="eastAsia" w:ascii="微软雅黑" w:hAnsi="微软雅黑" w:eastAsia="微软雅黑" w:cs="微软雅黑"/>
                <w:sz w:val="21"/>
                <w:szCs w:val="21"/>
                <w:vertAlign w:val="baseline"/>
                <w:lang w:val="en-US" w:eastAsia="zh-CN"/>
              </w:rPr>
              <w:t>工作方式：</w:t>
            </w:r>
          </w:p>
        </w:tc>
        <w:tc>
          <w:tcPr>
            <w:tcW w:w="7652" w:type="dxa"/>
            <w:gridSpan w:val="2"/>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both"/>
              <w:textAlignment w:val="auto"/>
              <w:rPr>
                <w:rFonts w:hint="eastAsia" w:ascii="微软雅黑" w:hAnsi="微软雅黑" w:eastAsia="微软雅黑" w:cs="微软雅黑"/>
                <w:sz w:val="21"/>
                <w:szCs w:val="21"/>
                <w:vertAlign w:val="baseline"/>
                <w:lang w:val="en-US" w:eastAsia="zh-CN" w:bidi="zh-CN"/>
              </w:rPr>
            </w:pPr>
            <w:r>
              <w:rPr>
                <w:rFonts w:hint="eastAsia" w:ascii="微软雅黑" w:hAnsi="微软雅黑" w:eastAsia="微软雅黑" w:cs="微软雅黑"/>
                <w:sz w:val="21"/>
                <w:szCs w:val="21"/>
                <w:vertAlign w:val="baseline"/>
                <w:lang w:val="en-US" w:eastAsia="zh-CN"/>
              </w:rPr>
              <w:t>直列四缸高压共轨增压中冷柴油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633" w:hRule="atLeast"/>
          <w:jc w:val="center"/>
        </w:trPr>
        <w:tc>
          <w:tcPr>
            <w:tcW w:w="2158" w:type="dxa"/>
            <w:gridSpan w:val="2"/>
            <w:tcBorders>
              <w:left w:val="nil"/>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both"/>
              <w:textAlignment w:val="auto"/>
              <w:rPr>
                <w:rFonts w:hint="eastAsia" w:ascii="微软雅黑" w:hAnsi="微软雅黑" w:eastAsia="微软雅黑" w:cs="微软雅黑"/>
                <w:sz w:val="21"/>
                <w:szCs w:val="21"/>
                <w:vertAlign w:val="baseline"/>
                <w:lang w:val="en-US" w:eastAsia="zh-CN" w:bidi="zh-CN"/>
              </w:rPr>
            </w:pPr>
            <w:r>
              <w:rPr>
                <w:rFonts w:hint="eastAsia" w:ascii="微软雅黑" w:hAnsi="微软雅黑" w:eastAsia="微软雅黑" w:cs="微软雅黑"/>
                <w:sz w:val="21"/>
                <w:szCs w:val="21"/>
                <w:vertAlign w:val="baseline"/>
                <w:lang w:val="en-US" w:eastAsia="zh-CN"/>
              </w:rPr>
              <w:t>排气量ml：</w:t>
            </w:r>
          </w:p>
        </w:tc>
        <w:tc>
          <w:tcPr>
            <w:tcW w:w="7652" w:type="dxa"/>
            <w:gridSpan w:val="2"/>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both"/>
              <w:textAlignment w:val="auto"/>
              <w:rPr>
                <w:rFonts w:hint="default" w:ascii="微软雅黑" w:hAnsi="微软雅黑" w:eastAsia="微软雅黑" w:cs="微软雅黑"/>
                <w:sz w:val="21"/>
                <w:szCs w:val="21"/>
                <w:vertAlign w:val="baseline"/>
                <w:lang w:val="en-US" w:eastAsia="zh-CN" w:bidi="zh-CN"/>
              </w:rPr>
            </w:pPr>
            <w:r>
              <w:rPr>
                <w:rFonts w:hint="eastAsia" w:cs="微软雅黑"/>
                <w:sz w:val="21"/>
                <w:szCs w:val="21"/>
                <w:vertAlign w:val="baseline"/>
                <w:lang w:val="en-US" w:eastAsia="zh-CN"/>
              </w:rPr>
              <w:t>2198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633" w:hRule="atLeast"/>
          <w:jc w:val="center"/>
        </w:trPr>
        <w:tc>
          <w:tcPr>
            <w:tcW w:w="2158" w:type="dxa"/>
            <w:gridSpan w:val="2"/>
            <w:tcBorders>
              <w:left w:val="nil"/>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both"/>
              <w:textAlignment w:val="auto"/>
              <w:rPr>
                <w:rFonts w:hint="eastAsia" w:ascii="微软雅黑" w:hAnsi="微软雅黑" w:eastAsia="微软雅黑" w:cs="微软雅黑"/>
                <w:sz w:val="21"/>
                <w:szCs w:val="21"/>
                <w:vertAlign w:val="baseline"/>
                <w:lang w:val="en-US" w:eastAsia="zh-CN" w:bidi="zh-CN"/>
              </w:rPr>
            </w:pPr>
            <w:r>
              <w:rPr>
                <w:rFonts w:hint="eastAsia" w:ascii="微软雅黑" w:hAnsi="微软雅黑" w:eastAsia="微软雅黑" w:cs="微软雅黑"/>
                <w:sz w:val="21"/>
                <w:szCs w:val="21"/>
                <w:vertAlign w:val="baseline"/>
                <w:lang w:val="en-US" w:eastAsia="zh-CN"/>
              </w:rPr>
              <w:t>额定功率kw(hp)/rpm:</w:t>
            </w:r>
          </w:p>
        </w:tc>
        <w:tc>
          <w:tcPr>
            <w:tcW w:w="7652" w:type="dxa"/>
            <w:gridSpan w:val="2"/>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both"/>
              <w:textAlignment w:val="auto"/>
              <w:rPr>
                <w:rFonts w:hint="eastAsia" w:ascii="微软雅黑" w:hAnsi="微软雅黑" w:eastAsia="微软雅黑" w:cs="微软雅黑"/>
                <w:sz w:val="21"/>
                <w:szCs w:val="21"/>
                <w:vertAlign w:val="baseline"/>
                <w:lang w:val="en-US" w:eastAsia="zh-CN" w:bidi="zh-CN"/>
              </w:rPr>
            </w:pPr>
            <w:r>
              <w:rPr>
                <w:rFonts w:hint="eastAsia" w:cs="微软雅黑"/>
                <w:sz w:val="21"/>
                <w:szCs w:val="21"/>
                <w:vertAlign w:val="baseline"/>
                <w:lang w:val="en-US" w:eastAsia="zh-CN"/>
              </w:rPr>
              <w:t>103</w:t>
            </w:r>
            <w:r>
              <w:rPr>
                <w:rFonts w:hint="eastAsia" w:ascii="微软雅黑" w:hAnsi="微软雅黑" w:eastAsia="微软雅黑" w:cs="微软雅黑"/>
                <w:sz w:val="21"/>
                <w:szCs w:val="21"/>
                <w:vertAlign w:val="baseline"/>
                <w:lang w:val="en-US" w:eastAsia="zh-CN"/>
              </w:rPr>
              <w:t>（</w:t>
            </w:r>
            <w:r>
              <w:rPr>
                <w:rFonts w:hint="eastAsia" w:cs="微软雅黑"/>
                <w:sz w:val="21"/>
                <w:szCs w:val="21"/>
                <w:vertAlign w:val="baseline"/>
                <w:lang w:val="en-US" w:eastAsia="zh-CN"/>
              </w:rPr>
              <w:t>柴</w:t>
            </w:r>
            <w:r>
              <w:rPr>
                <w:rFonts w:hint="eastAsia" w:ascii="微软雅黑" w:hAnsi="微软雅黑" w:eastAsia="微软雅黑" w:cs="微软雅黑"/>
                <w:sz w:val="21"/>
                <w:szCs w:val="21"/>
                <w:vertAlign w:val="baseline"/>
                <w:lang w:val="en-US" w:eastAsia="zh-CN"/>
              </w:rPr>
              <w:t>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635" w:hRule="atLeast"/>
          <w:jc w:val="center"/>
        </w:trPr>
        <w:tc>
          <w:tcPr>
            <w:tcW w:w="2158" w:type="dxa"/>
            <w:gridSpan w:val="2"/>
            <w:tcBorders>
              <w:left w:val="nil"/>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both"/>
              <w:textAlignment w:val="auto"/>
              <w:rPr>
                <w:rFonts w:hint="eastAsia" w:ascii="微软雅黑" w:hAnsi="微软雅黑" w:eastAsia="微软雅黑" w:cs="微软雅黑"/>
                <w:sz w:val="21"/>
                <w:szCs w:val="21"/>
                <w:vertAlign w:val="baseline"/>
                <w:lang w:val="en-US" w:eastAsia="zh-CN" w:bidi="zh-CN"/>
              </w:rPr>
            </w:pPr>
            <w:r>
              <w:rPr>
                <w:rFonts w:hint="eastAsia" w:ascii="微软雅黑" w:hAnsi="微软雅黑" w:eastAsia="微软雅黑" w:cs="微软雅黑"/>
                <w:sz w:val="21"/>
                <w:szCs w:val="21"/>
                <w:vertAlign w:val="baseline"/>
                <w:lang w:val="en-US" w:eastAsia="zh-CN"/>
              </w:rPr>
              <w:t>前悬/后悬mm：</w:t>
            </w:r>
          </w:p>
        </w:tc>
        <w:tc>
          <w:tcPr>
            <w:tcW w:w="7652" w:type="dxa"/>
            <w:gridSpan w:val="2"/>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both"/>
              <w:textAlignment w:val="auto"/>
              <w:rPr>
                <w:rFonts w:hint="default" w:ascii="微软雅黑" w:hAnsi="微软雅黑" w:eastAsia="微软雅黑" w:cs="微软雅黑"/>
                <w:sz w:val="21"/>
                <w:szCs w:val="21"/>
                <w:vertAlign w:val="baseline"/>
                <w:lang w:val="en-US" w:eastAsia="zh-CN" w:bidi="zh-CN"/>
              </w:rPr>
            </w:pPr>
            <w:r>
              <w:rPr>
                <w:rFonts w:hint="eastAsia" w:cs="微软雅黑"/>
                <w:sz w:val="21"/>
                <w:szCs w:val="21"/>
                <w:vertAlign w:val="baseline"/>
                <w:lang w:val="en-US" w:eastAsia="zh-CN"/>
              </w:rPr>
              <w:t>973</w:t>
            </w:r>
            <w:r>
              <w:rPr>
                <w:rFonts w:hint="eastAsia" w:ascii="微软雅黑" w:hAnsi="微软雅黑" w:eastAsia="微软雅黑" w:cs="微软雅黑"/>
                <w:sz w:val="21"/>
                <w:szCs w:val="21"/>
                <w:vertAlign w:val="baseline"/>
                <w:lang w:val="en-US" w:eastAsia="zh-CN"/>
              </w:rPr>
              <w:t>/1</w:t>
            </w:r>
            <w:r>
              <w:rPr>
                <w:rFonts w:hint="eastAsia" w:cs="微软雅黑"/>
                <w:sz w:val="21"/>
                <w:szCs w:val="21"/>
                <w:vertAlign w:val="baseline"/>
                <w:lang w:val="en-US" w:eastAsia="zh-CN"/>
              </w:rPr>
              <w:t>097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633" w:hRule="atLeast"/>
          <w:jc w:val="center"/>
        </w:trPr>
        <w:tc>
          <w:tcPr>
            <w:tcW w:w="2158" w:type="dxa"/>
            <w:gridSpan w:val="2"/>
            <w:tcBorders>
              <w:left w:val="nil"/>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both"/>
              <w:textAlignment w:val="auto"/>
              <w:rPr>
                <w:rFonts w:hint="eastAsia" w:ascii="微软雅黑" w:hAnsi="微软雅黑" w:eastAsia="微软雅黑" w:cs="微软雅黑"/>
                <w:sz w:val="21"/>
                <w:szCs w:val="21"/>
                <w:vertAlign w:val="baseline"/>
                <w:lang w:val="en-US" w:eastAsia="zh-CN" w:bidi="zh-CN"/>
              </w:rPr>
            </w:pPr>
            <w:r>
              <w:rPr>
                <w:rFonts w:hint="eastAsia" w:ascii="微软雅黑" w:hAnsi="微软雅黑" w:eastAsia="微软雅黑" w:cs="微软雅黑"/>
                <w:sz w:val="21"/>
                <w:szCs w:val="21"/>
                <w:vertAlign w:val="baseline"/>
                <w:lang w:val="en-US" w:eastAsia="zh-CN"/>
              </w:rPr>
              <w:t>排放标准：</w:t>
            </w:r>
          </w:p>
        </w:tc>
        <w:tc>
          <w:tcPr>
            <w:tcW w:w="7652" w:type="dxa"/>
            <w:gridSpan w:val="2"/>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both"/>
              <w:textAlignment w:val="auto"/>
              <w:rPr>
                <w:rFonts w:hint="eastAsia" w:ascii="微软雅黑" w:hAnsi="微软雅黑" w:eastAsia="微软雅黑" w:cs="微软雅黑"/>
                <w:sz w:val="21"/>
                <w:szCs w:val="21"/>
                <w:vertAlign w:val="baseline"/>
                <w:lang w:val="en-US" w:eastAsia="zh-CN" w:bidi="zh-CN"/>
              </w:rPr>
            </w:pPr>
            <w:r>
              <w:rPr>
                <w:rFonts w:hint="eastAsia" w:ascii="微软雅黑" w:hAnsi="微软雅黑" w:eastAsia="微软雅黑" w:cs="微软雅黑"/>
                <w:sz w:val="21"/>
                <w:szCs w:val="21"/>
                <w:vertAlign w:val="baseline"/>
                <w:lang w:val="en-US" w:eastAsia="zh-CN"/>
              </w:rPr>
              <w:t>GB3847-2005,GB17691-2018国Ⅵ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633" w:hRule="atLeast"/>
          <w:jc w:val="center"/>
        </w:trPr>
        <w:tc>
          <w:tcPr>
            <w:tcW w:w="2158" w:type="dxa"/>
            <w:gridSpan w:val="2"/>
            <w:tcBorders>
              <w:left w:val="nil"/>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both"/>
              <w:textAlignment w:val="auto"/>
              <w:rPr>
                <w:rFonts w:hint="eastAsia" w:ascii="微软雅黑" w:hAnsi="微软雅黑" w:eastAsia="微软雅黑" w:cs="微软雅黑"/>
                <w:sz w:val="21"/>
                <w:szCs w:val="21"/>
                <w:vertAlign w:val="baseline"/>
                <w:lang w:val="en-US" w:eastAsia="zh-CN" w:bidi="zh-CN"/>
              </w:rPr>
            </w:pPr>
            <w:r>
              <w:rPr>
                <w:rFonts w:hint="eastAsia" w:ascii="微软雅黑" w:hAnsi="微软雅黑" w:eastAsia="微软雅黑" w:cs="微软雅黑"/>
                <w:sz w:val="21"/>
                <w:szCs w:val="21"/>
                <w:vertAlign w:val="baseline"/>
                <w:lang w:val="en-US" w:eastAsia="zh-CN"/>
              </w:rPr>
              <w:t>前轮距/后轮距</w:t>
            </w:r>
          </w:p>
        </w:tc>
        <w:tc>
          <w:tcPr>
            <w:tcW w:w="7652" w:type="dxa"/>
            <w:gridSpan w:val="2"/>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both"/>
              <w:textAlignment w:val="auto"/>
              <w:rPr>
                <w:rFonts w:hint="default" w:ascii="微软雅黑" w:hAnsi="微软雅黑" w:eastAsia="微软雅黑" w:cs="微软雅黑"/>
                <w:sz w:val="21"/>
                <w:szCs w:val="21"/>
                <w:vertAlign w:val="baseline"/>
                <w:lang w:val="en-US" w:eastAsia="zh-CN" w:bidi="zh-CN"/>
              </w:rPr>
            </w:pPr>
            <w:r>
              <w:rPr>
                <w:rFonts w:hint="eastAsia" w:ascii="微软雅黑" w:hAnsi="微软雅黑" w:eastAsia="微软雅黑" w:cs="微软雅黑"/>
                <w:sz w:val="21"/>
                <w:szCs w:val="21"/>
                <w:vertAlign w:val="baseline"/>
                <w:lang w:val="en-US" w:eastAsia="zh-CN"/>
              </w:rPr>
              <w:t>17</w:t>
            </w:r>
            <w:r>
              <w:rPr>
                <w:rFonts w:hint="eastAsia" w:cs="微软雅黑"/>
                <w:sz w:val="21"/>
                <w:szCs w:val="21"/>
                <w:vertAlign w:val="baseline"/>
                <w:lang w:val="en-US" w:eastAsia="zh-CN"/>
              </w:rPr>
              <w:t>40</w:t>
            </w:r>
            <w:r>
              <w:rPr>
                <w:rFonts w:hint="eastAsia" w:ascii="微软雅黑" w:hAnsi="微软雅黑" w:eastAsia="微软雅黑" w:cs="微软雅黑"/>
                <w:sz w:val="21"/>
                <w:szCs w:val="21"/>
                <w:vertAlign w:val="baseline"/>
                <w:lang w:val="en-US" w:eastAsia="zh-CN"/>
              </w:rPr>
              <w:t>/17</w:t>
            </w:r>
            <w:r>
              <w:rPr>
                <w:rFonts w:hint="eastAsia" w:cs="微软雅黑"/>
                <w:sz w:val="21"/>
                <w:szCs w:val="21"/>
                <w:vertAlign w:val="baseline"/>
                <w:lang w:val="en-US" w:eastAsia="zh-CN"/>
              </w:rPr>
              <w:t>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635" w:hRule="atLeast"/>
          <w:jc w:val="center"/>
        </w:trPr>
        <w:tc>
          <w:tcPr>
            <w:tcW w:w="2158" w:type="dxa"/>
            <w:gridSpan w:val="2"/>
            <w:tcBorders>
              <w:left w:val="nil"/>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both"/>
              <w:textAlignment w:val="auto"/>
              <w:rPr>
                <w:rFonts w:hint="eastAsia" w:ascii="微软雅黑" w:hAnsi="微软雅黑" w:eastAsia="微软雅黑" w:cs="微软雅黑"/>
                <w:sz w:val="21"/>
                <w:szCs w:val="21"/>
                <w:vertAlign w:val="baseline"/>
                <w:lang w:val="en-US" w:eastAsia="zh-CN" w:bidi="zh-CN"/>
              </w:rPr>
            </w:pPr>
            <w:r>
              <w:rPr>
                <w:rFonts w:hint="eastAsia" w:ascii="微软雅黑" w:hAnsi="微软雅黑" w:eastAsia="微软雅黑" w:cs="微软雅黑"/>
                <w:sz w:val="21"/>
                <w:szCs w:val="21"/>
                <w:vertAlign w:val="baseline"/>
                <w:lang w:val="en-US" w:eastAsia="zh-CN"/>
              </w:rPr>
              <w:t>驱动方式</w:t>
            </w:r>
          </w:p>
        </w:tc>
        <w:tc>
          <w:tcPr>
            <w:tcW w:w="7652" w:type="dxa"/>
            <w:gridSpan w:val="2"/>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both"/>
              <w:textAlignment w:val="auto"/>
              <w:rPr>
                <w:rFonts w:hint="eastAsia" w:ascii="微软雅黑" w:hAnsi="微软雅黑" w:eastAsia="微软雅黑" w:cs="微软雅黑"/>
                <w:sz w:val="21"/>
                <w:szCs w:val="21"/>
                <w:vertAlign w:val="baseline"/>
                <w:lang w:val="en-US" w:eastAsia="zh-CN" w:bidi="zh-CN"/>
              </w:rPr>
            </w:pPr>
            <w:r>
              <w:rPr>
                <w:rFonts w:hint="eastAsia" w:ascii="微软雅黑" w:hAnsi="微软雅黑" w:eastAsia="微软雅黑" w:cs="微软雅黑"/>
                <w:sz w:val="21"/>
                <w:szCs w:val="21"/>
                <w:vertAlign w:val="baseline"/>
                <w:lang w:val="en-US" w:eastAsia="zh-CN"/>
              </w:rPr>
              <w:t>前置</w:t>
            </w:r>
            <w:r>
              <w:rPr>
                <w:rFonts w:hint="eastAsia" w:cs="微软雅黑"/>
                <w:sz w:val="21"/>
                <w:szCs w:val="21"/>
                <w:vertAlign w:val="baseline"/>
                <w:lang w:val="en-US" w:eastAsia="zh-CN"/>
              </w:rPr>
              <w:t>后</w:t>
            </w:r>
            <w:r>
              <w:rPr>
                <w:rFonts w:hint="eastAsia" w:ascii="微软雅黑" w:hAnsi="微软雅黑" w:eastAsia="微软雅黑" w:cs="微软雅黑"/>
                <w:sz w:val="21"/>
                <w:szCs w:val="21"/>
                <w:vertAlign w:val="baseline"/>
                <w:lang w:val="en-US" w:eastAsia="zh-CN"/>
              </w:rPr>
              <w:t>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635" w:hRule="atLeast"/>
          <w:jc w:val="center"/>
        </w:trPr>
        <w:tc>
          <w:tcPr>
            <w:tcW w:w="2158" w:type="dxa"/>
            <w:gridSpan w:val="2"/>
            <w:tcBorders>
              <w:left w:val="nil"/>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both"/>
              <w:textAlignment w:val="auto"/>
              <w:rPr>
                <w:rFonts w:hint="eastAsia" w:ascii="微软雅黑" w:hAnsi="微软雅黑" w:eastAsia="微软雅黑" w:cs="微软雅黑"/>
                <w:sz w:val="21"/>
                <w:szCs w:val="21"/>
                <w:vertAlign w:val="baseline"/>
                <w:lang w:val="en-US" w:eastAsia="zh-CN" w:bidi="zh-CN"/>
              </w:rPr>
            </w:pPr>
            <w:r>
              <w:rPr>
                <w:rFonts w:hint="eastAsia" w:ascii="微软雅黑" w:hAnsi="微软雅黑" w:eastAsia="微软雅黑" w:cs="微软雅黑"/>
                <w:sz w:val="21"/>
                <w:szCs w:val="21"/>
                <w:vertAlign w:val="baseline"/>
                <w:lang w:val="en-US" w:eastAsia="zh-CN"/>
              </w:rPr>
              <w:t>变速器：</w:t>
            </w:r>
          </w:p>
        </w:tc>
        <w:tc>
          <w:tcPr>
            <w:tcW w:w="7652" w:type="dxa"/>
            <w:gridSpan w:val="2"/>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both"/>
              <w:textAlignment w:val="auto"/>
              <w:rPr>
                <w:rFonts w:hint="eastAsia" w:ascii="微软雅黑" w:hAnsi="微软雅黑" w:eastAsia="微软雅黑" w:cs="微软雅黑"/>
                <w:sz w:val="21"/>
                <w:szCs w:val="21"/>
                <w:vertAlign w:val="baseline"/>
                <w:lang w:val="en-US" w:eastAsia="zh-CN" w:bidi="zh-CN"/>
              </w:rPr>
            </w:pPr>
            <w:r>
              <w:rPr>
                <w:rFonts w:hint="eastAsia" w:cs="微软雅黑"/>
                <w:sz w:val="21"/>
                <w:szCs w:val="21"/>
                <w:vertAlign w:val="baseline"/>
                <w:lang w:val="en-US" w:eastAsia="zh-CN"/>
              </w:rPr>
              <w:t>6</w:t>
            </w:r>
            <w:r>
              <w:rPr>
                <w:rFonts w:hint="eastAsia" w:ascii="微软雅黑" w:hAnsi="微软雅黑" w:eastAsia="微软雅黑" w:cs="微软雅黑"/>
                <w:sz w:val="21"/>
                <w:szCs w:val="21"/>
                <w:vertAlign w:val="baseline"/>
                <w:lang w:val="en-US" w:eastAsia="zh-CN"/>
              </w:rPr>
              <w:t>速</w:t>
            </w:r>
            <w:r>
              <w:rPr>
                <w:rFonts w:hint="eastAsia" w:cs="微软雅黑"/>
                <w:sz w:val="21"/>
                <w:szCs w:val="21"/>
                <w:vertAlign w:val="baseline"/>
                <w:lang w:val="en-US" w:eastAsia="zh-CN"/>
              </w:rPr>
              <w:t>手动</w:t>
            </w:r>
            <w:r>
              <w:rPr>
                <w:rFonts w:hint="eastAsia" w:ascii="微软雅黑" w:hAnsi="微软雅黑" w:eastAsia="微软雅黑" w:cs="微软雅黑"/>
                <w:sz w:val="21"/>
                <w:szCs w:val="21"/>
                <w:vertAlign w:val="baseline"/>
                <w:lang w:val="en-US" w:eastAsia="zh-CN"/>
              </w:rPr>
              <w:t>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635" w:hRule="atLeast"/>
          <w:jc w:val="center"/>
        </w:trPr>
        <w:tc>
          <w:tcPr>
            <w:tcW w:w="2158" w:type="dxa"/>
            <w:gridSpan w:val="2"/>
            <w:tcBorders>
              <w:left w:val="nil"/>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both"/>
              <w:textAlignment w:val="auto"/>
              <w:rPr>
                <w:rFonts w:hint="eastAsia" w:ascii="微软雅黑" w:hAnsi="微软雅黑" w:eastAsia="微软雅黑" w:cs="微软雅黑"/>
                <w:sz w:val="21"/>
                <w:szCs w:val="21"/>
                <w:vertAlign w:val="baseline"/>
                <w:lang w:val="en-US" w:eastAsia="zh-CN" w:bidi="zh-CN"/>
              </w:rPr>
            </w:pPr>
            <w:r>
              <w:rPr>
                <w:rFonts w:hint="eastAsia" w:ascii="微软雅黑" w:hAnsi="微软雅黑" w:eastAsia="微软雅黑" w:cs="微软雅黑"/>
                <w:sz w:val="21"/>
                <w:szCs w:val="21"/>
                <w:vertAlign w:val="baseline"/>
                <w:lang w:val="en-US" w:eastAsia="zh-CN"/>
              </w:rPr>
              <w:t>最高时速km/h：</w:t>
            </w:r>
          </w:p>
        </w:tc>
        <w:tc>
          <w:tcPr>
            <w:tcW w:w="7652" w:type="dxa"/>
            <w:gridSpan w:val="2"/>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both"/>
              <w:textAlignment w:val="auto"/>
              <w:rPr>
                <w:rFonts w:hint="default" w:ascii="微软雅黑" w:hAnsi="微软雅黑" w:eastAsia="微软雅黑" w:cs="微软雅黑"/>
                <w:sz w:val="21"/>
                <w:szCs w:val="21"/>
                <w:vertAlign w:val="baseline"/>
                <w:lang w:val="en-US" w:eastAsia="zh-CN" w:bidi="zh-CN"/>
              </w:rPr>
            </w:pPr>
            <w:r>
              <w:rPr>
                <w:rFonts w:hint="eastAsia" w:ascii="微软雅黑" w:hAnsi="微软雅黑" w:eastAsia="微软雅黑" w:cs="微软雅黑"/>
                <w:sz w:val="21"/>
                <w:szCs w:val="21"/>
                <w:vertAlign w:val="baseline"/>
                <w:lang w:val="en-US" w:eastAsia="zh-CN"/>
              </w:rPr>
              <w:t>1</w:t>
            </w:r>
            <w:r>
              <w:rPr>
                <w:rFonts w:hint="eastAsia" w:cs="微软雅黑"/>
                <w:sz w:val="21"/>
                <w:szCs w:val="21"/>
                <w:vertAlign w:val="baseline"/>
                <w:lang w:val="en-US" w:eastAsia="zh-CN"/>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635" w:hRule="atLeast"/>
          <w:jc w:val="center"/>
        </w:trPr>
        <w:tc>
          <w:tcPr>
            <w:tcW w:w="2158" w:type="dxa"/>
            <w:gridSpan w:val="2"/>
            <w:tcBorders>
              <w:left w:val="nil"/>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both"/>
              <w:textAlignment w:val="auto"/>
              <w:rPr>
                <w:rFonts w:hint="eastAsia" w:ascii="微软雅黑" w:hAnsi="微软雅黑" w:eastAsia="微软雅黑" w:cs="微软雅黑"/>
                <w:sz w:val="21"/>
                <w:szCs w:val="21"/>
                <w:vertAlign w:val="baseline"/>
                <w:lang w:val="en-US" w:eastAsia="zh-CN" w:bidi="zh-CN"/>
              </w:rPr>
            </w:pPr>
            <w:r>
              <w:rPr>
                <w:rFonts w:hint="eastAsia" w:ascii="微软雅黑" w:hAnsi="微软雅黑" w:eastAsia="微软雅黑" w:cs="微软雅黑"/>
                <w:sz w:val="21"/>
                <w:szCs w:val="21"/>
                <w:vertAlign w:val="baseline"/>
                <w:lang w:val="en-US" w:eastAsia="zh-CN"/>
              </w:rPr>
              <w:t>轮胎规格型号</w:t>
            </w:r>
          </w:p>
        </w:tc>
        <w:tc>
          <w:tcPr>
            <w:tcW w:w="7652" w:type="dxa"/>
            <w:gridSpan w:val="2"/>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both"/>
              <w:textAlignment w:val="auto"/>
              <w:rPr>
                <w:rFonts w:hint="eastAsia" w:ascii="微软雅黑" w:hAnsi="微软雅黑" w:eastAsia="微软雅黑" w:cs="微软雅黑"/>
                <w:sz w:val="21"/>
                <w:szCs w:val="21"/>
                <w:vertAlign w:val="baseline"/>
                <w:lang w:val="en-US" w:eastAsia="zh-CN" w:bidi="zh-CN"/>
              </w:rPr>
            </w:pPr>
            <w:r>
              <w:rPr>
                <w:rFonts w:hint="eastAsia" w:ascii="微软雅黑" w:hAnsi="微软雅黑" w:eastAsia="微软雅黑" w:cs="微软雅黑"/>
                <w:sz w:val="21"/>
                <w:szCs w:val="21"/>
                <w:vertAlign w:val="baseline"/>
                <w:lang w:val="en-US" w:eastAsia="zh-CN"/>
              </w:rPr>
              <w:t>215/75R16LT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635" w:hRule="atLeast"/>
          <w:jc w:val="center"/>
        </w:trPr>
        <w:tc>
          <w:tcPr>
            <w:tcW w:w="2158" w:type="dxa"/>
            <w:gridSpan w:val="2"/>
            <w:tcBorders>
              <w:left w:val="nil"/>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both"/>
              <w:textAlignment w:val="auto"/>
              <w:rPr>
                <w:rFonts w:hint="eastAsia" w:ascii="微软雅黑" w:hAnsi="微软雅黑" w:eastAsia="微软雅黑" w:cs="微软雅黑"/>
                <w:sz w:val="21"/>
                <w:szCs w:val="21"/>
                <w:vertAlign w:val="baseline"/>
                <w:lang w:val="en-US" w:eastAsia="zh-CN" w:bidi="zh-CN"/>
              </w:rPr>
            </w:pPr>
            <w:r>
              <w:rPr>
                <w:rFonts w:hint="eastAsia" w:ascii="微软雅黑" w:hAnsi="微软雅黑" w:eastAsia="微软雅黑" w:cs="微软雅黑"/>
                <w:sz w:val="21"/>
                <w:szCs w:val="21"/>
                <w:vertAlign w:val="baseline"/>
                <w:lang w:val="en-US" w:eastAsia="zh-CN"/>
              </w:rPr>
              <w:t>制动系统</w:t>
            </w:r>
          </w:p>
        </w:tc>
        <w:tc>
          <w:tcPr>
            <w:tcW w:w="7652" w:type="dxa"/>
            <w:gridSpan w:val="2"/>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both"/>
              <w:textAlignment w:val="auto"/>
              <w:rPr>
                <w:rFonts w:hint="eastAsia" w:ascii="微软雅黑" w:hAnsi="微软雅黑" w:eastAsia="微软雅黑" w:cs="微软雅黑"/>
                <w:sz w:val="21"/>
                <w:szCs w:val="21"/>
                <w:vertAlign w:val="baseline"/>
                <w:lang w:val="en-US" w:eastAsia="zh-CN" w:bidi="zh-CN"/>
              </w:rPr>
            </w:pPr>
            <w:r>
              <w:rPr>
                <w:rFonts w:hint="eastAsia" w:ascii="微软雅黑" w:hAnsi="微软雅黑" w:eastAsia="微软雅黑" w:cs="微软雅黑"/>
                <w:sz w:val="21"/>
                <w:szCs w:val="21"/>
                <w:vertAlign w:val="baseline"/>
                <w:lang w:val="en-US" w:eastAsia="zh-CN"/>
              </w:rPr>
              <w:t>前盘后盘</w:t>
            </w:r>
            <w:r>
              <w:rPr>
                <w:rFonts w:hint="eastAsia" w:cs="微软雅黑"/>
                <w:sz w:val="21"/>
                <w:szCs w:val="21"/>
                <w:vertAlign w:val="baseline"/>
                <w:lang w:val="en-US" w:eastAsia="zh-CN"/>
              </w:rPr>
              <w:t>，液压双回路制动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635" w:hRule="atLeast"/>
          <w:jc w:val="center"/>
        </w:trPr>
        <w:tc>
          <w:tcPr>
            <w:tcW w:w="2158" w:type="dxa"/>
            <w:gridSpan w:val="2"/>
            <w:tcBorders>
              <w:left w:val="nil"/>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both"/>
              <w:textAlignment w:val="auto"/>
              <w:rPr>
                <w:rFonts w:hint="eastAsia" w:ascii="微软雅黑" w:hAnsi="微软雅黑" w:eastAsia="微软雅黑" w:cs="微软雅黑"/>
                <w:sz w:val="21"/>
                <w:szCs w:val="21"/>
                <w:vertAlign w:val="baseline"/>
                <w:lang w:val="en-US" w:eastAsia="zh-CN" w:bidi="zh-CN"/>
              </w:rPr>
            </w:pPr>
            <w:r>
              <w:rPr>
                <w:rFonts w:hint="eastAsia" w:ascii="微软雅黑" w:hAnsi="微软雅黑" w:eastAsia="微软雅黑" w:cs="微软雅黑"/>
                <w:sz w:val="21"/>
                <w:szCs w:val="21"/>
                <w:vertAlign w:val="baseline"/>
                <w:lang w:val="en-US" w:eastAsia="zh-CN"/>
              </w:rPr>
              <w:t>额定载客</w:t>
            </w:r>
          </w:p>
        </w:tc>
        <w:tc>
          <w:tcPr>
            <w:tcW w:w="7652" w:type="dxa"/>
            <w:gridSpan w:val="2"/>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both"/>
              <w:textAlignment w:val="auto"/>
              <w:rPr>
                <w:rFonts w:hint="eastAsia" w:ascii="微软雅黑" w:hAnsi="微软雅黑" w:eastAsia="微软雅黑" w:cs="微软雅黑"/>
                <w:sz w:val="21"/>
                <w:szCs w:val="21"/>
                <w:vertAlign w:val="baseline"/>
                <w:lang w:val="en-US" w:eastAsia="zh-CN" w:bidi="zh-CN"/>
              </w:rPr>
            </w:pPr>
            <w:r>
              <w:rPr>
                <w:rFonts w:hint="eastAsia" w:ascii="微软雅黑" w:hAnsi="微软雅黑" w:eastAsia="微软雅黑" w:cs="微软雅黑"/>
                <w:sz w:val="21"/>
                <w:szCs w:val="21"/>
                <w:vertAlign w:val="baseline"/>
                <w:lang w:val="en-US" w:eastAsia="zh-CN"/>
              </w:rPr>
              <w:t>5-</w:t>
            </w:r>
            <w:r>
              <w:rPr>
                <w:rFonts w:hint="eastAsia" w:cs="微软雅黑"/>
                <w:sz w:val="21"/>
                <w:szCs w:val="21"/>
                <w:vertAlign w:val="baseline"/>
                <w:lang w:val="en-US" w:eastAsia="zh-CN"/>
              </w:rPr>
              <w:t>9（</w:t>
            </w:r>
            <w:r>
              <w:rPr>
                <w:rFonts w:hint="eastAsia" w:ascii="微软雅黑" w:hAnsi="微软雅黑" w:eastAsia="微软雅黑" w:cs="微软雅黑"/>
                <w:sz w:val="21"/>
                <w:szCs w:val="21"/>
                <w:vertAlign w:val="baseline"/>
                <w:lang w:val="en-US" w:eastAsia="zh-CN"/>
              </w:rPr>
              <w:t>含驾驶员</w:t>
            </w:r>
            <w:r>
              <w:rPr>
                <w:rFonts w:hint="eastAsia" w:cs="微软雅黑"/>
                <w:sz w:val="21"/>
                <w:szCs w:val="21"/>
                <w:vertAlign w:val="baseli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635" w:hRule="atLeast"/>
          <w:jc w:val="center"/>
        </w:trPr>
        <w:tc>
          <w:tcPr>
            <w:tcW w:w="2158" w:type="dxa"/>
            <w:gridSpan w:val="2"/>
            <w:vMerge w:val="restart"/>
            <w:tcBorders>
              <w:left w:val="nil"/>
            </w:tcBorders>
            <w:vAlign w:val="center"/>
          </w:tcPr>
          <w:p>
            <w:pPr>
              <w:pStyle w:val="4"/>
              <w:ind w:left="0" w:leftChars="0" w:firstLine="0" w:firstLineChars="0"/>
              <w:jc w:val="center"/>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车</w:t>
            </w:r>
          </w:p>
          <w:p>
            <w:pPr>
              <w:pStyle w:val="4"/>
              <w:ind w:left="0" w:leftChars="0" w:firstLine="0" w:firstLineChars="0"/>
              <w:jc w:val="center"/>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辆</w:t>
            </w:r>
          </w:p>
          <w:p>
            <w:pPr>
              <w:pStyle w:val="4"/>
              <w:ind w:left="0" w:leftChars="0" w:firstLine="0" w:firstLineChars="0"/>
              <w:jc w:val="center"/>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主</w:t>
            </w:r>
          </w:p>
          <w:p>
            <w:pPr>
              <w:pStyle w:val="4"/>
              <w:ind w:left="0" w:leftChars="0" w:firstLine="0" w:firstLineChars="0"/>
              <w:jc w:val="center"/>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要</w:t>
            </w:r>
          </w:p>
          <w:p>
            <w:pPr>
              <w:pStyle w:val="4"/>
              <w:ind w:left="0" w:leftChars="0" w:firstLine="0" w:firstLineChars="0"/>
              <w:jc w:val="center"/>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配</w:t>
            </w:r>
          </w:p>
          <w:p>
            <w:pPr>
              <w:pStyle w:val="4"/>
              <w:ind w:left="0" w:leftChars="0" w:firstLine="0" w:firstLineChars="0"/>
              <w:jc w:val="center"/>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置</w:t>
            </w:r>
          </w:p>
        </w:tc>
        <w:tc>
          <w:tcPr>
            <w:tcW w:w="7652" w:type="dxa"/>
            <w:gridSpan w:val="2"/>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both"/>
              <w:textAlignment w:val="auto"/>
              <w:rPr>
                <w:rFonts w:hint="eastAsia" w:ascii="微软雅黑" w:hAnsi="微软雅黑" w:eastAsia="微软雅黑" w:cs="微软雅黑"/>
                <w:sz w:val="21"/>
                <w:szCs w:val="21"/>
                <w:vertAlign w:val="baseline"/>
                <w:lang w:val="en-US" w:eastAsia="zh-CN" w:bidi="zh-CN"/>
              </w:rPr>
            </w:pPr>
            <w:r>
              <w:rPr>
                <w:rFonts w:hint="eastAsia" w:ascii="微软雅黑" w:hAnsi="微软雅黑" w:eastAsia="微软雅黑" w:cs="微软雅黑"/>
                <w:sz w:val="21"/>
                <w:szCs w:val="21"/>
                <w:vertAlign w:val="baseline"/>
                <w:lang w:val="en-US" w:eastAsia="zh-CN"/>
              </w:rPr>
              <w:t>全金属封闭承载式车身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635" w:hRule="atLeast"/>
          <w:jc w:val="center"/>
        </w:trPr>
        <w:tc>
          <w:tcPr>
            <w:tcW w:w="2158" w:type="dxa"/>
            <w:gridSpan w:val="2"/>
            <w:vMerge w:val="continue"/>
            <w:tcBorders>
              <w:left w:val="nil"/>
            </w:tcBorders>
            <w:vAlign w:val="center"/>
          </w:tcPr>
          <w:p>
            <w:pPr>
              <w:pStyle w:val="4"/>
              <w:ind w:left="0" w:leftChars="0" w:firstLine="0" w:firstLineChars="0"/>
              <w:rPr>
                <w:rFonts w:hint="eastAsia" w:ascii="微软雅黑" w:hAnsi="微软雅黑" w:eastAsia="微软雅黑" w:cs="微软雅黑"/>
                <w:sz w:val="21"/>
                <w:szCs w:val="21"/>
                <w:vertAlign w:val="baseline"/>
                <w:lang w:val="en-US" w:eastAsia="zh-CN"/>
              </w:rPr>
            </w:pPr>
          </w:p>
        </w:tc>
        <w:tc>
          <w:tcPr>
            <w:tcW w:w="7652" w:type="dxa"/>
            <w:gridSpan w:val="2"/>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both"/>
              <w:textAlignment w:val="auto"/>
              <w:rPr>
                <w:rFonts w:hint="eastAsia" w:ascii="微软雅黑" w:hAnsi="微软雅黑" w:eastAsia="微软雅黑" w:cs="微软雅黑"/>
                <w:sz w:val="21"/>
                <w:szCs w:val="21"/>
                <w:vertAlign w:val="baseline"/>
                <w:lang w:val="en-US" w:eastAsia="zh-CN" w:bidi="zh-CN"/>
              </w:rPr>
            </w:pPr>
            <w:r>
              <w:rPr>
                <w:rFonts w:hint="eastAsia" w:ascii="微软雅黑" w:hAnsi="微软雅黑" w:eastAsia="微软雅黑" w:cs="微软雅黑"/>
                <w:sz w:val="21"/>
                <w:szCs w:val="21"/>
                <w:vertAlign w:val="baseline"/>
                <w:lang w:val="en-US" w:eastAsia="zh-CN"/>
              </w:rPr>
              <w:t xml:space="preserve"> ABS+EBD+ESP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635" w:hRule="atLeast"/>
          <w:jc w:val="center"/>
        </w:trPr>
        <w:tc>
          <w:tcPr>
            <w:tcW w:w="2158" w:type="dxa"/>
            <w:gridSpan w:val="2"/>
            <w:vMerge w:val="continue"/>
            <w:tcBorders>
              <w:left w:val="nil"/>
            </w:tcBorders>
            <w:vAlign w:val="center"/>
          </w:tcPr>
          <w:p>
            <w:pPr>
              <w:pStyle w:val="4"/>
              <w:ind w:left="0" w:leftChars="0" w:firstLine="0" w:firstLineChars="0"/>
              <w:rPr>
                <w:rFonts w:hint="eastAsia" w:ascii="微软雅黑" w:hAnsi="微软雅黑" w:eastAsia="微软雅黑" w:cs="微软雅黑"/>
                <w:sz w:val="21"/>
                <w:szCs w:val="21"/>
                <w:vertAlign w:val="baseline"/>
                <w:lang w:val="en-US" w:eastAsia="zh-CN"/>
              </w:rPr>
            </w:pPr>
          </w:p>
        </w:tc>
        <w:tc>
          <w:tcPr>
            <w:tcW w:w="7652" w:type="dxa"/>
            <w:gridSpan w:val="2"/>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both"/>
              <w:textAlignment w:val="auto"/>
              <w:rPr>
                <w:rFonts w:hint="eastAsia" w:ascii="微软雅黑" w:hAnsi="微软雅黑" w:eastAsia="微软雅黑" w:cs="微软雅黑"/>
                <w:sz w:val="21"/>
                <w:szCs w:val="21"/>
                <w:vertAlign w:val="baseline"/>
                <w:lang w:val="en-US" w:eastAsia="zh-CN" w:bidi="zh-CN"/>
              </w:rPr>
            </w:pPr>
            <w:r>
              <w:rPr>
                <w:rFonts w:hint="eastAsia" w:ascii="微软雅黑" w:hAnsi="微软雅黑" w:eastAsia="微软雅黑" w:cs="微软雅黑"/>
                <w:sz w:val="21"/>
                <w:szCs w:val="21"/>
                <w:vertAlign w:val="baseline"/>
                <w:lang w:val="en-US" w:eastAsia="zh-CN"/>
              </w:rPr>
              <w:t>中控锁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635" w:hRule="atLeast"/>
          <w:jc w:val="center"/>
        </w:trPr>
        <w:tc>
          <w:tcPr>
            <w:tcW w:w="2158" w:type="dxa"/>
            <w:gridSpan w:val="2"/>
            <w:vMerge w:val="continue"/>
            <w:tcBorders>
              <w:left w:val="nil"/>
            </w:tcBorders>
            <w:vAlign w:val="center"/>
          </w:tcPr>
          <w:p>
            <w:pPr>
              <w:pStyle w:val="4"/>
              <w:ind w:left="0" w:leftChars="0" w:firstLine="0" w:firstLineChars="0"/>
              <w:rPr>
                <w:rFonts w:hint="eastAsia" w:ascii="微软雅黑" w:hAnsi="微软雅黑" w:eastAsia="微软雅黑" w:cs="微软雅黑"/>
                <w:sz w:val="21"/>
                <w:szCs w:val="21"/>
                <w:vertAlign w:val="baseline"/>
                <w:lang w:val="en-US" w:eastAsia="zh-CN"/>
              </w:rPr>
            </w:pPr>
          </w:p>
        </w:tc>
        <w:tc>
          <w:tcPr>
            <w:tcW w:w="7652" w:type="dxa"/>
            <w:gridSpan w:val="2"/>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both"/>
              <w:textAlignment w:val="auto"/>
              <w:rPr>
                <w:rFonts w:hint="eastAsia" w:ascii="微软雅黑" w:hAnsi="微软雅黑" w:eastAsia="微软雅黑" w:cs="微软雅黑"/>
                <w:sz w:val="21"/>
                <w:szCs w:val="21"/>
                <w:vertAlign w:val="baseline"/>
                <w:lang w:val="en-US" w:eastAsia="zh-CN" w:bidi="zh-CN"/>
              </w:rPr>
            </w:pPr>
            <w:r>
              <w:rPr>
                <w:rFonts w:hint="eastAsia" w:ascii="微软雅黑" w:hAnsi="微软雅黑" w:eastAsia="微软雅黑" w:cs="微软雅黑"/>
                <w:sz w:val="21"/>
                <w:szCs w:val="21"/>
                <w:vertAlign w:val="baseline"/>
                <w:lang w:val="en-US" w:eastAsia="zh-CN"/>
              </w:rPr>
              <w:t>前排电动门窗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635" w:hRule="atLeast"/>
          <w:jc w:val="center"/>
        </w:trPr>
        <w:tc>
          <w:tcPr>
            <w:tcW w:w="2158" w:type="dxa"/>
            <w:gridSpan w:val="2"/>
            <w:vMerge w:val="continue"/>
            <w:tcBorders>
              <w:left w:val="nil"/>
            </w:tcBorders>
            <w:vAlign w:val="center"/>
          </w:tcPr>
          <w:p>
            <w:pPr>
              <w:pStyle w:val="4"/>
              <w:ind w:left="0" w:leftChars="0" w:firstLine="0" w:firstLineChars="0"/>
              <w:rPr>
                <w:rFonts w:hint="eastAsia" w:ascii="微软雅黑" w:hAnsi="微软雅黑" w:eastAsia="微软雅黑" w:cs="微软雅黑"/>
                <w:sz w:val="21"/>
                <w:szCs w:val="21"/>
                <w:vertAlign w:val="baseline"/>
                <w:lang w:val="en-US" w:eastAsia="zh-CN"/>
              </w:rPr>
            </w:pPr>
          </w:p>
        </w:tc>
        <w:tc>
          <w:tcPr>
            <w:tcW w:w="7652" w:type="dxa"/>
            <w:gridSpan w:val="2"/>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both"/>
              <w:textAlignment w:val="auto"/>
              <w:rPr>
                <w:rFonts w:hint="eastAsia" w:ascii="微软雅黑" w:hAnsi="微软雅黑" w:eastAsia="微软雅黑" w:cs="微软雅黑"/>
                <w:sz w:val="21"/>
                <w:szCs w:val="21"/>
                <w:vertAlign w:val="baseline"/>
                <w:lang w:val="en-US" w:eastAsia="zh-CN" w:bidi="zh-CN"/>
              </w:rPr>
            </w:pPr>
            <w:r>
              <w:rPr>
                <w:rFonts w:hint="eastAsia" w:ascii="微软雅黑" w:hAnsi="微软雅黑" w:eastAsia="微软雅黑" w:cs="微软雅黑"/>
                <w:sz w:val="21"/>
                <w:szCs w:val="21"/>
                <w:vertAlign w:val="baseline"/>
                <w:lang w:val="en-US" w:eastAsia="zh-CN"/>
              </w:rPr>
              <w:t>驾驶座（主）安全气囊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635" w:hRule="atLeast"/>
          <w:jc w:val="center"/>
        </w:trPr>
        <w:tc>
          <w:tcPr>
            <w:tcW w:w="2158" w:type="dxa"/>
            <w:gridSpan w:val="2"/>
            <w:vMerge w:val="continue"/>
            <w:tcBorders>
              <w:left w:val="nil"/>
            </w:tcBorders>
            <w:vAlign w:val="center"/>
          </w:tcPr>
          <w:p>
            <w:pPr>
              <w:pStyle w:val="4"/>
              <w:ind w:left="0" w:leftChars="0" w:firstLine="0" w:firstLineChars="0"/>
              <w:rPr>
                <w:rFonts w:hint="eastAsia" w:ascii="微软雅黑" w:hAnsi="微软雅黑" w:eastAsia="微软雅黑" w:cs="微软雅黑"/>
                <w:sz w:val="21"/>
                <w:szCs w:val="21"/>
                <w:vertAlign w:val="baseline"/>
                <w:lang w:val="en-US" w:eastAsia="zh-CN"/>
              </w:rPr>
            </w:pPr>
          </w:p>
        </w:tc>
        <w:tc>
          <w:tcPr>
            <w:tcW w:w="7652" w:type="dxa"/>
            <w:gridSpan w:val="2"/>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both"/>
              <w:textAlignment w:val="auto"/>
              <w:rPr>
                <w:rFonts w:hint="eastAsia" w:ascii="微软雅黑" w:hAnsi="微软雅黑" w:eastAsia="微软雅黑" w:cs="微软雅黑"/>
                <w:sz w:val="21"/>
                <w:szCs w:val="21"/>
                <w:vertAlign w:val="baseline"/>
                <w:lang w:val="en-US" w:eastAsia="zh-CN" w:bidi="zh-CN"/>
              </w:rPr>
            </w:pPr>
            <w:r>
              <w:rPr>
                <w:rFonts w:hint="eastAsia" w:ascii="微软雅黑" w:hAnsi="微软雅黑" w:eastAsia="微软雅黑" w:cs="微软雅黑"/>
                <w:sz w:val="21"/>
                <w:szCs w:val="21"/>
                <w:vertAlign w:val="baseline"/>
                <w:lang w:val="en-US" w:eastAsia="zh-CN"/>
              </w:rPr>
              <w:t>遥控钥匙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635" w:hRule="atLeast"/>
          <w:jc w:val="center"/>
        </w:trPr>
        <w:tc>
          <w:tcPr>
            <w:tcW w:w="2158" w:type="dxa"/>
            <w:gridSpan w:val="2"/>
            <w:vMerge w:val="continue"/>
            <w:tcBorders>
              <w:left w:val="nil"/>
            </w:tcBorders>
            <w:vAlign w:val="center"/>
          </w:tcPr>
          <w:p>
            <w:pPr>
              <w:pStyle w:val="4"/>
              <w:ind w:left="0" w:leftChars="0" w:firstLine="0" w:firstLineChars="0"/>
              <w:rPr>
                <w:rFonts w:hint="eastAsia" w:ascii="微软雅黑" w:hAnsi="微软雅黑" w:eastAsia="微软雅黑" w:cs="微软雅黑"/>
                <w:sz w:val="21"/>
                <w:szCs w:val="21"/>
                <w:vertAlign w:val="baseline"/>
                <w:lang w:val="en-US" w:eastAsia="zh-CN"/>
              </w:rPr>
            </w:pPr>
          </w:p>
        </w:tc>
        <w:tc>
          <w:tcPr>
            <w:tcW w:w="7652" w:type="dxa"/>
            <w:gridSpan w:val="2"/>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both"/>
              <w:textAlignment w:val="auto"/>
              <w:rPr>
                <w:rFonts w:hint="eastAsia" w:ascii="微软雅黑" w:hAnsi="微软雅黑" w:eastAsia="微软雅黑" w:cs="微软雅黑"/>
                <w:sz w:val="21"/>
                <w:szCs w:val="21"/>
                <w:vertAlign w:val="baseline"/>
                <w:lang w:val="en-US" w:eastAsia="zh-CN" w:bidi="zh-CN"/>
              </w:rPr>
            </w:pPr>
            <w:r>
              <w:rPr>
                <w:rFonts w:hint="eastAsia" w:ascii="微软雅黑" w:hAnsi="微软雅黑" w:eastAsia="微软雅黑" w:cs="微软雅黑"/>
                <w:sz w:val="21"/>
                <w:szCs w:val="21"/>
                <w:vertAlign w:val="baseline"/>
                <w:lang w:val="en-US" w:eastAsia="zh-CN"/>
              </w:rPr>
              <w:t>驾驶室医疗舱前后空调，前后暖风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635" w:hRule="atLeast"/>
          <w:jc w:val="center"/>
        </w:trPr>
        <w:tc>
          <w:tcPr>
            <w:tcW w:w="2158" w:type="dxa"/>
            <w:gridSpan w:val="2"/>
            <w:vMerge w:val="continue"/>
            <w:tcBorders>
              <w:left w:val="nil"/>
            </w:tcBorders>
            <w:vAlign w:val="center"/>
          </w:tcPr>
          <w:p>
            <w:pPr>
              <w:pStyle w:val="4"/>
              <w:ind w:left="0" w:leftChars="0" w:firstLine="0" w:firstLineChars="0"/>
              <w:rPr>
                <w:rFonts w:hint="eastAsia" w:ascii="微软雅黑" w:hAnsi="微软雅黑" w:eastAsia="微软雅黑" w:cs="微软雅黑"/>
                <w:sz w:val="21"/>
                <w:szCs w:val="21"/>
                <w:vertAlign w:val="baseline"/>
                <w:lang w:val="en-US" w:eastAsia="zh-CN"/>
              </w:rPr>
            </w:pPr>
          </w:p>
        </w:tc>
        <w:tc>
          <w:tcPr>
            <w:tcW w:w="7652" w:type="dxa"/>
            <w:gridSpan w:val="2"/>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both"/>
              <w:textAlignment w:val="auto"/>
              <w:rPr>
                <w:rFonts w:hint="eastAsia" w:ascii="微软雅黑" w:hAnsi="微软雅黑" w:eastAsia="微软雅黑" w:cs="微软雅黑"/>
                <w:sz w:val="21"/>
                <w:szCs w:val="21"/>
                <w:vertAlign w:val="baseline"/>
                <w:lang w:val="en-US" w:eastAsia="zh-CN" w:bidi="zh-CN"/>
              </w:rPr>
            </w:pPr>
            <w:r>
              <w:rPr>
                <w:rFonts w:hint="eastAsia" w:ascii="微软雅黑" w:hAnsi="微软雅黑" w:eastAsia="微软雅黑" w:cs="微软雅黑"/>
                <w:sz w:val="21"/>
                <w:szCs w:val="21"/>
                <w:vertAlign w:val="baseline"/>
                <w:lang w:val="en-US" w:eastAsia="zh-CN"/>
              </w:rPr>
              <w:t>备胎、备用工具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635" w:hRule="atLeast"/>
          <w:jc w:val="center"/>
        </w:trPr>
        <w:tc>
          <w:tcPr>
            <w:tcW w:w="2158" w:type="dxa"/>
            <w:gridSpan w:val="2"/>
            <w:vMerge w:val="continue"/>
            <w:tcBorders>
              <w:left w:val="nil"/>
            </w:tcBorders>
            <w:vAlign w:val="center"/>
          </w:tcPr>
          <w:p>
            <w:pPr>
              <w:pStyle w:val="4"/>
              <w:ind w:left="0" w:leftChars="0" w:firstLine="0" w:firstLineChars="0"/>
              <w:rPr>
                <w:rFonts w:hint="eastAsia" w:ascii="微软雅黑" w:hAnsi="微软雅黑" w:eastAsia="微软雅黑" w:cs="微软雅黑"/>
                <w:sz w:val="21"/>
                <w:szCs w:val="21"/>
                <w:vertAlign w:val="baseline"/>
                <w:lang w:val="en-US" w:eastAsia="zh-CN"/>
              </w:rPr>
            </w:pPr>
          </w:p>
        </w:tc>
        <w:tc>
          <w:tcPr>
            <w:tcW w:w="7652" w:type="dxa"/>
            <w:gridSpan w:val="2"/>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both"/>
              <w:textAlignment w:val="auto"/>
              <w:rPr>
                <w:rFonts w:hint="eastAsia" w:ascii="微软雅黑" w:hAnsi="微软雅黑" w:eastAsia="微软雅黑" w:cs="微软雅黑"/>
                <w:sz w:val="21"/>
                <w:szCs w:val="21"/>
                <w:vertAlign w:val="baseline"/>
                <w:lang w:val="en-US" w:eastAsia="zh-CN" w:bidi="zh-CN"/>
              </w:rPr>
            </w:pPr>
            <w:r>
              <w:rPr>
                <w:rFonts w:hint="eastAsia" w:ascii="微软雅黑" w:hAnsi="微软雅黑" w:eastAsia="微软雅黑" w:cs="微软雅黑"/>
                <w:sz w:val="21"/>
                <w:szCs w:val="21"/>
                <w:vertAlign w:val="baseline"/>
                <w:lang w:val="en-US" w:eastAsia="zh-CN"/>
              </w:rPr>
              <w:t>高位刹车灯</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0" w:type="dxa"/>
            <w:bottom w:w="0" w:type="dxa"/>
            <w:right w:w="0" w:type="dxa"/>
          </w:tblCellMar>
        </w:tblPrEx>
        <w:trPr>
          <w:gridBefore w:val="1"/>
          <w:wBefore w:w="5" w:type="dxa"/>
          <w:trHeight w:val="880" w:hRule="atLeast"/>
          <w:jc w:val="center"/>
        </w:trPr>
        <w:tc>
          <w:tcPr>
            <w:tcW w:w="2156" w:type="dxa"/>
            <w:gridSpan w:val="2"/>
            <w:tcBorders>
              <w:tl2br w:val="nil"/>
              <w:tr2bl w:val="nil"/>
            </w:tcBorders>
            <w:vAlign w:val="center"/>
          </w:tcPr>
          <w:p>
            <w:pPr>
              <w:keepNext w:val="0"/>
              <w:keepLines w:val="0"/>
              <w:pageBreakBefore w:val="0"/>
              <w:kinsoku/>
              <w:wordWrap/>
              <w:overflowPunct/>
              <w:topLinePunct w:val="0"/>
              <w:autoSpaceDE/>
              <w:autoSpaceDN/>
              <w:bidi w:val="0"/>
              <w:adjustRightInd/>
              <w:spacing w:before="216" w:beforeLines="0" w:afterLines="0" w:line="440" w:lineRule="exact"/>
              <w:ind w:left="0" w:leftChars="0" w:right="0" w:rightChars="0"/>
              <w:jc w:val="both"/>
              <w:textAlignment w:val="auto"/>
              <w:rPr>
                <w:rFonts w:hint="eastAsia" w:ascii="微软雅黑" w:hAnsi="微软雅黑" w:eastAsia="微软雅黑" w:cs="微软雅黑"/>
                <w:b/>
                <w:bCs/>
                <w:color w:val="000000"/>
                <w:kern w:val="2"/>
                <w:sz w:val="21"/>
                <w:szCs w:val="21"/>
                <w:lang w:val="en-US" w:eastAsia="zh-CN" w:bidi="ar-SA"/>
              </w:rPr>
            </w:pPr>
            <w:r>
              <w:rPr>
                <w:rFonts w:hint="eastAsia" w:ascii="微软雅黑" w:hAnsi="微软雅黑" w:eastAsia="微软雅黑" w:cs="微软雅黑"/>
                <w:b w:val="0"/>
                <w:bCs w:val="0"/>
                <w:color w:val="000000"/>
                <w:sz w:val="21"/>
                <w:szCs w:val="21"/>
              </w:rPr>
              <w:t>外观</w:t>
            </w:r>
          </w:p>
        </w:tc>
        <w:tc>
          <w:tcPr>
            <w:tcW w:w="7668" w:type="dxa"/>
            <w:gridSpan w:val="2"/>
            <w:tcBorders>
              <w:tl2br w:val="nil"/>
              <w:tr2bl w:val="nil"/>
            </w:tcBorders>
            <w:vAlign w:val="center"/>
          </w:tcPr>
          <w:p>
            <w:pPr>
              <w:keepNext w:val="0"/>
              <w:keepLines w:val="0"/>
              <w:pageBreakBefore w:val="0"/>
              <w:tabs>
                <w:tab w:val="left" w:pos="631"/>
                <w:tab w:val="left" w:pos="1891"/>
                <w:tab w:val="left" w:pos="9394"/>
              </w:tabs>
              <w:kinsoku/>
              <w:wordWrap/>
              <w:overflowPunct/>
              <w:topLinePunct w:val="0"/>
              <w:autoSpaceDE/>
              <w:autoSpaceDN/>
              <w:bidi w:val="0"/>
              <w:adjustRightInd/>
              <w:snapToGrid w:val="0"/>
              <w:spacing w:line="440" w:lineRule="exact"/>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1.车辆外观根据最终用户统一标准设计。</w:t>
            </w:r>
          </w:p>
          <w:p>
            <w:pPr>
              <w:keepNext w:val="0"/>
              <w:keepLines w:val="0"/>
              <w:pageBreakBefore w:val="0"/>
              <w:kinsoku/>
              <w:wordWrap/>
              <w:overflowPunct/>
              <w:topLinePunct w:val="0"/>
              <w:autoSpaceDE/>
              <w:autoSpaceDN/>
              <w:bidi w:val="0"/>
              <w:adjustRightInd/>
              <w:snapToGrid/>
              <w:spacing w:before="1" w:beforeLines="0" w:afterLines="0" w:line="440" w:lineRule="exact"/>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2.所有标识采用国际知名品牌反光贴。</w:t>
            </w:r>
          </w:p>
          <w:p>
            <w:pPr>
              <w:keepNext w:val="0"/>
              <w:keepLines w:val="0"/>
              <w:pageBreakBefore w:val="0"/>
              <w:kinsoku/>
              <w:wordWrap/>
              <w:overflowPunct/>
              <w:topLinePunct w:val="0"/>
              <w:autoSpaceDE/>
              <w:autoSpaceDN/>
              <w:bidi w:val="0"/>
              <w:adjustRightInd/>
              <w:snapToGrid/>
              <w:spacing w:before="1" w:beforeLines="0" w:afterLines="0" w:line="440" w:lineRule="exact"/>
              <w:ind w:left="0" w:leftChars="0" w:right="0" w:rightChars="0"/>
              <w:jc w:val="both"/>
              <w:textAlignment w:val="auto"/>
              <w:rPr>
                <w:rFonts w:hint="eastAsia" w:ascii="微软雅黑" w:hAnsi="微软雅黑" w:eastAsia="微软雅黑" w:cs="微软雅黑"/>
                <w:sz w:val="21"/>
                <w:szCs w:val="21"/>
                <w:lang w:val="en-US" w:eastAsia="zh-CN" w:bidi="zh-CN"/>
              </w:rPr>
            </w:pPr>
            <w:r>
              <w:rPr>
                <w:rFonts w:hint="eastAsia" w:ascii="微软雅黑" w:hAnsi="微软雅黑" w:eastAsia="微软雅黑" w:cs="微软雅黑"/>
                <w:color w:val="000000"/>
                <w:sz w:val="21"/>
                <w:szCs w:val="21"/>
                <w:lang w:val="en-US" w:eastAsia="zh-CN"/>
              </w:rPr>
              <w:t>3.</w:t>
            </w:r>
            <w:r>
              <w:rPr>
                <w:rFonts w:hint="eastAsia" w:ascii="微软雅黑" w:hAnsi="微软雅黑" w:eastAsia="微软雅黑" w:cs="微软雅黑"/>
                <w:color w:val="000000"/>
                <w:sz w:val="21"/>
                <w:szCs w:val="21"/>
              </w:rPr>
              <w:t>医疗舱窗户上贴玻璃膜2/3</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0" w:type="dxa"/>
            <w:bottom w:w="0" w:type="dxa"/>
            <w:right w:w="0" w:type="dxa"/>
          </w:tblCellMar>
        </w:tblPrEx>
        <w:trPr>
          <w:gridBefore w:val="1"/>
          <w:wBefore w:w="5" w:type="dxa"/>
          <w:trHeight w:val="880" w:hRule="atLeast"/>
          <w:jc w:val="center"/>
        </w:trPr>
        <w:tc>
          <w:tcPr>
            <w:tcW w:w="2156" w:type="dxa"/>
            <w:gridSpan w:val="2"/>
            <w:tcBorders>
              <w:tl2br w:val="nil"/>
              <w:tr2bl w:val="nil"/>
            </w:tcBorders>
            <w:vAlign w:val="center"/>
          </w:tcPr>
          <w:p>
            <w:pPr>
              <w:keepNext w:val="0"/>
              <w:keepLines w:val="0"/>
              <w:pageBreakBefore w:val="0"/>
              <w:kinsoku/>
              <w:wordWrap/>
              <w:overflowPunct/>
              <w:topLinePunct w:val="0"/>
              <w:autoSpaceDE/>
              <w:autoSpaceDN/>
              <w:bidi w:val="0"/>
              <w:adjustRightInd/>
              <w:spacing w:before="1" w:beforeLines="0" w:afterLines="0" w:line="440" w:lineRule="exact"/>
              <w:ind w:left="0" w:leftChars="0" w:right="0" w:rightChars="0"/>
              <w:jc w:val="both"/>
              <w:textAlignment w:val="auto"/>
              <w:rPr>
                <w:rFonts w:hint="eastAsia" w:ascii="微软雅黑" w:hAnsi="微软雅黑" w:eastAsia="微软雅黑" w:cs="微软雅黑"/>
                <w:b w:val="0"/>
                <w:bCs w:val="0"/>
                <w:color w:val="000000"/>
                <w:kern w:val="2"/>
                <w:sz w:val="21"/>
                <w:szCs w:val="21"/>
                <w:lang w:val="en-US" w:eastAsia="zh-CN" w:bidi="ar-SA"/>
              </w:rPr>
            </w:pPr>
            <w:r>
              <w:rPr>
                <w:rFonts w:hint="eastAsia" w:ascii="微软雅黑" w:hAnsi="微软雅黑" w:eastAsia="微软雅黑" w:cs="微软雅黑"/>
                <w:b w:val="0"/>
                <w:bCs w:val="0"/>
                <w:color w:val="000000"/>
                <w:sz w:val="21"/>
                <w:szCs w:val="21"/>
              </w:rPr>
              <w:t>警灯</w:t>
            </w:r>
          </w:p>
        </w:tc>
        <w:tc>
          <w:tcPr>
            <w:tcW w:w="7668"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leftChars="0" w:right="0" w:rightChars="0"/>
              <w:jc w:val="both"/>
              <w:textAlignment w:val="auto"/>
              <w:rPr>
                <w:rFonts w:hint="eastAsia" w:ascii="微软雅黑" w:hAnsi="微软雅黑" w:eastAsia="微软雅黑" w:cs="微软雅黑"/>
                <w:color w:val="000000"/>
                <w:kern w:val="2"/>
                <w:position w:val="-1"/>
                <w:sz w:val="21"/>
                <w:szCs w:val="21"/>
                <w:lang w:val="en-US" w:eastAsia="zh-CN" w:bidi="ar-SA"/>
              </w:rPr>
            </w:pPr>
            <w:r>
              <w:rPr>
                <w:rFonts w:hint="eastAsia" w:ascii="微软雅黑" w:hAnsi="微软雅黑" w:eastAsia="微软雅黑" w:cs="微软雅黑"/>
                <w:color w:val="000000"/>
                <w:kern w:val="0"/>
                <w:sz w:val="21"/>
                <w:szCs w:val="21"/>
                <w:lang w:val="en-US" w:eastAsia="zh-CN" w:bidi="ar"/>
              </w:rPr>
              <w:t>车顶前部安装组合式</w:t>
            </w:r>
            <w:r>
              <w:rPr>
                <w:rFonts w:hint="eastAsia" w:cs="微软雅黑"/>
                <w:color w:val="000000"/>
                <w:kern w:val="0"/>
                <w:sz w:val="21"/>
                <w:szCs w:val="21"/>
                <w:lang w:val="en-US" w:eastAsia="zh-CN" w:bidi="ar"/>
              </w:rPr>
              <w:t>长排</w:t>
            </w:r>
            <w:r>
              <w:rPr>
                <w:rFonts w:hint="eastAsia" w:ascii="微软雅黑" w:hAnsi="微软雅黑" w:eastAsia="微软雅黑" w:cs="微软雅黑"/>
                <w:color w:val="000000"/>
                <w:kern w:val="0"/>
                <w:sz w:val="21"/>
                <w:szCs w:val="21"/>
                <w:lang w:val="en-US" w:eastAsia="zh-CN" w:bidi="ar"/>
              </w:rPr>
              <w:t>警灯</w:t>
            </w:r>
            <w:r>
              <w:rPr>
                <w:rFonts w:hint="eastAsia" w:ascii="微软雅黑" w:hAnsi="微软雅黑" w:eastAsia="微软雅黑" w:cs="微软雅黑"/>
                <w:color w:val="000000"/>
                <w:sz w:val="21"/>
                <w:szCs w:val="21"/>
              </w:rPr>
              <w:t>，安装牢固，密封严密，保证不漏、不渗雨水。（灯罩采用高透光材料制成，节能环保，透明度高、穿雾能力强、搞冲击力强、不褪色。）</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0" w:type="dxa"/>
            <w:bottom w:w="0" w:type="dxa"/>
            <w:right w:w="0" w:type="dxa"/>
          </w:tblCellMar>
        </w:tblPrEx>
        <w:trPr>
          <w:gridBefore w:val="1"/>
          <w:wBefore w:w="5" w:type="dxa"/>
          <w:trHeight w:val="880" w:hRule="atLeast"/>
          <w:jc w:val="center"/>
        </w:trPr>
        <w:tc>
          <w:tcPr>
            <w:tcW w:w="2156" w:type="dxa"/>
            <w:gridSpan w:val="2"/>
            <w:tcBorders>
              <w:tl2br w:val="nil"/>
              <w:tr2bl w:val="nil"/>
            </w:tcBorders>
            <w:vAlign w:val="center"/>
          </w:tcPr>
          <w:p>
            <w:pPr>
              <w:keepNext w:val="0"/>
              <w:keepLines w:val="0"/>
              <w:pageBreakBefore w:val="0"/>
              <w:kinsoku/>
              <w:wordWrap/>
              <w:overflowPunct/>
              <w:topLinePunct w:val="0"/>
              <w:autoSpaceDE/>
              <w:autoSpaceDN/>
              <w:bidi w:val="0"/>
              <w:adjustRightInd/>
              <w:spacing w:before="1" w:beforeLines="0" w:afterLines="0" w:line="440" w:lineRule="exact"/>
              <w:ind w:left="0" w:leftChars="0" w:right="0" w:rightChars="0"/>
              <w:jc w:val="both"/>
              <w:textAlignment w:val="auto"/>
              <w:rPr>
                <w:rFonts w:hint="eastAsia" w:ascii="微软雅黑" w:hAnsi="微软雅黑" w:eastAsia="微软雅黑" w:cs="微软雅黑"/>
                <w:b w:val="0"/>
                <w:bCs w:val="0"/>
                <w:color w:val="000000"/>
                <w:sz w:val="21"/>
                <w:szCs w:val="21"/>
                <w:lang w:val="zh-CN" w:eastAsia="zh-CN" w:bidi="zh-CN"/>
              </w:rPr>
            </w:pPr>
            <w:r>
              <w:rPr>
                <w:rFonts w:hint="eastAsia" w:ascii="微软雅黑" w:hAnsi="微软雅黑" w:eastAsia="微软雅黑" w:cs="微软雅黑"/>
                <w:b w:val="0"/>
                <w:bCs w:val="0"/>
                <w:color w:val="000000"/>
                <w:sz w:val="21"/>
                <w:szCs w:val="21"/>
              </w:rPr>
              <w:t>警报器</w:t>
            </w:r>
          </w:p>
        </w:tc>
        <w:tc>
          <w:tcPr>
            <w:tcW w:w="7668"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leftChars="0" w:right="0" w:rightChars="0"/>
              <w:jc w:val="both"/>
              <w:textAlignment w:val="auto"/>
              <w:rPr>
                <w:rFonts w:hint="eastAsia" w:ascii="微软雅黑" w:hAnsi="微软雅黑" w:eastAsia="微软雅黑" w:cs="微软雅黑"/>
                <w:color w:val="000000"/>
                <w:kern w:val="0"/>
                <w:sz w:val="21"/>
                <w:szCs w:val="21"/>
                <w:lang w:val="en-US" w:eastAsia="zh-CN" w:bidi="zh-CN"/>
              </w:rPr>
            </w:pPr>
            <w:r>
              <w:rPr>
                <w:rFonts w:hint="eastAsia" w:ascii="微软雅黑" w:hAnsi="微软雅黑" w:eastAsia="微软雅黑" w:cs="微软雅黑"/>
                <w:color w:val="000000"/>
                <w:kern w:val="0"/>
                <w:sz w:val="21"/>
                <w:szCs w:val="21"/>
                <w:lang w:val="en-US" w:eastAsia="zh-CN" w:bidi="ar"/>
              </w:rPr>
              <w:t>不小于100W 警报器，内置</w:t>
            </w:r>
            <w:r>
              <w:rPr>
                <w:rFonts w:hint="eastAsia" w:cs="微软雅黑"/>
                <w:color w:val="000000"/>
                <w:kern w:val="0"/>
                <w:sz w:val="21"/>
                <w:szCs w:val="21"/>
                <w:lang w:val="en-US" w:eastAsia="zh-CN" w:bidi="ar"/>
              </w:rPr>
              <w:t xml:space="preserve"> </w:t>
            </w:r>
            <w:r>
              <w:rPr>
                <w:rFonts w:hint="eastAsia" w:ascii="微软雅黑" w:hAnsi="微软雅黑" w:eastAsia="微软雅黑" w:cs="微软雅黑"/>
                <w:color w:val="000000"/>
                <w:kern w:val="0"/>
                <w:sz w:val="21"/>
                <w:szCs w:val="21"/>
                <w:lang w:val="en-US" w:eastAsia="zh-CN" w:bidi="ar"/>
              </w:rPr>
              <w:t>多功能爆闪手持一体装置</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0" w:type="dxa"/>
            <w:bottom w:w="0" w:type="dxa"/>
            <w:right w:w="0" w:type="dxa"/>
          </w:tblCellMar>
        </w:tblPrEx>
        <w:trPr>
          <w:gridBefore w:val="1"/>
          <w:wBefore w:w="5" w:type="dxa"/>
          <w:trHeight w:val="880" w:hRule="atLeast"/>
          <w:jc w:val="center"/>
        </w:trPr>
        <w:tc>
          <w:tcPr>
            <w:tcW w:w="2156" w:type="dxa"/>
            <w:gridSpan w:val="2"/>
            <w:tcBorders>
              <w:tl2br w:val="nil"/>
              <w:tr2bl w:val="nil"/>
            </w:tcBorders>
            <w:vAlign w:val="center"/>
          </w:tcPr>
          <w:p>
            <w:pPr>
              <w:keepNext w:val="0"/>
              <w:keepLines w:val="0"/>
              <w:pageBreakBefore w:val="0"/>
              <w:kinsoku/>
              <w:wordWrap/>
              <w:overflowPunct/>
              <w:topLinePunct w:val="0"/>
              <w:autoSpaceDE/>
              <w:autoSpaceDN/>
              <w:bidi w:val="0"/>
              <w:adjustRightInd/>
              <w:spacing w:before="1" w:beforeLines="0" w:afterLines="0" w:line="440" w:lineRule="exact"/>
              <w:ind w:left="0" w:leftChars="0" w:right="0" w:rightChars="0"/>
              <w:jc w:val="both"/>
              <w:textAlignment w:val="auto"/>
              <w:rPr>
                <w:rFonts w:hint="eastAsia" w:ascii="微软雅黑" w:hAnsi="微软雅黑" w:eastAsia="微软雅黑" w:cs="微软雅黑"/>
                <w:b w:val="0"/>
                <w:bCs w:val="0"/>
                <w:color w:val="000000"/>
                <w:sz w:val="21"/>
                <w:szCs w:val="21"/>
                <w:lang w:val="zh-CN" w:eastAsia="zh-CN" w:bidi="zh-CN"/>
              </w:rPr>
            </w:pPr>
            <w:r>
              <w:rPr>
                <w:rFonts w:hint="eastAsia" w:ascii="微软雅黑" w:hAnsi="微软雅黑" w:eastAsia="微软雅黑" w:cs="微软雅黑"/>
                <w:b w:val="0"/>
                <w:bCs w:val="0"/>
                <w:color w:val="000000"/>
                <w:sz w:val="21"/>
                <w:szCs w:val="21"/>
                <w:lang w:eastAsia="zh-CN"/>
              </w:rPr>
              <w:t>爆闪灯</w:t>
            </w:r>
          </w:p>
        </w:tc>
        <w:tc>
          <w:tcPr>
            <w:tcW w:w="7668"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before="1" w:beforeLines="0" w:afterLines="0" w:line="440" w:lineRule="exact"/>
              <w:ind w:left="0" w:leftChars="0" w:right="0" w:rightChars="0"/>
              <w:jc w:val="both"/>
              <w:textAlignment w:val="auto"/>
              <w:rPr>
                <w:rFonts w:hint="eastAsia" w:ascii="微软雅黑" w:hAnsi="微软雅黑" w:eastAsia="微软雅黑" w:cs="微软雅黑"/>
                <w:color w:val="000000"/>
                <w:kern w:val="0"/>
                <w:sz w:val="21"/>
                <w:szCs w:val="21"/>
                <w:lang w:val="en-US" w:eastAsia="zh-CN" w:bidi="zh-CN"/>
              </w:rPr>
            </w:pPr>
            <w:r>
              <w:rPr>
                <w:rFonts w:hint="eastAsia" w:ascii="微软雅黑" w:hAnsi="微软雅黑" w:eastAsia="微软雅黑" w:cs="微软雅黑"/>
                <w:color w:val="000000"/>
                <w:kern w:val="0"/>
                <w:sz w:val="21"/>
                <w:szCs w:val="21"/>
                <w:lang w:eastAsia="zh-CN"/>
              </w:rPr>
              <w:t>车身两侧及尾部安装</w:t>
            </w:r>
            <w:r>
              <w:rPr>
                <w:rFonts w:hint="eastAsia" w:ascii="微软雅黑" w:hAnsi="微软雅黑" w:eastAsia="微软雅黑" w:cs="微软雅黑"/>
                <w:color w:val="000000"/>
                <w:kern w:val="0"/>
                <w:sz w:val="21"/>
                <w:szCs w:val="21"/>
                <w:lang w:val="en-US" w:eastAsia="zh-CN"/>
              </w:rPr>
              <w:t>LED</w:t>
            </w:r>
            <w:r>
              <w:rPr>
                <w:rFonts w:hint="eastAsia" w:ascii="微软雅黑" w:hAnsi="微软雅黑" w:eastAsia="微软雅黑" w:cs="微软雅黑"/>
                <w:color w:val="000000"/>
                <w:kern w:val="0"/>
                <w:sz w:val="21"/>
                <w:szCs w:val="21"/>
                <w:lang w:eastAsia="zh-CN"/>
              </w:rPr>
              <w:t>爆闪警示灯</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0" w:type="dxa"/>
            <w:bottom w:w="0" w:type="dxa"/>
            <w:right w:w="0" w:type="dxa"/>
          </w:tblCellMar>
        </w:tblPrEx>
        <w:trPr>
          <w:gridBefore w:val="1"/>
          <w:wBefore w:w="5" w:type="dxa"/>
          <w:trHeight w:val="880" w:hRule="atLeast"/>
          <w:jc w:val="center"/>
        </w:trPr>
        <w:tc>
          <w:tcPr>
            <w:tcW w:w="9824" w:type="dxa"/>
            <w:gridSpan w:val="4"/>
            <w:tcBorders>
              <w:tl2br w:val="nil"/>
              <w:tr2bl w:val="nil"/>
            </w:tcBorders>
            <w:vAlign w:val="center"/>
          </w:tcPr>
          <w:p>
            <w:pPr>
              <w:keepNext w:val="0"/>
              <w:keepLines w:val="0"/>
              <w:pageBreakBefore w:val="0"/>
              <w:kinsoku/>
              <w:wordWrap/>
              <w:overflowPunct/>
              <w:topLinePunct w:val="0"/>
              <w:autoSpaceDE/>
              <w:autoSpaceDN/>
              <w:bidi w:val="0"/>
              <w:adjustRightInd/>
              <w:snapToGrid/>
              <w:spacing w:before="1" w:beforeLines="0" w:afterLines="0" w:line="440" w:lineRule="exact"/>
              <w:ind w:left="0" w:leftChars="0" w:right="0" w:rightChars="0"/>
              <w:jc w:val="both"/>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b/>
                <w:bCs/>
                <w:color w:val="000000"/>
                <w:sz w:val="21"/>
                <w:szCs w:val="21"/>
                <w:lang w:eastAsia="zh-CN"/>
              </w:rPr>
              <w:t>医疗舱结构</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0" w:type="dxa"/>
            <w:bottom w:w="0" w:type="dxa"/>
            <w:right w:w="0" w:type="dxa"/>
          </w:tblCellMar>
        </w:tblPrEx>
        <w:trPr>
          <w:gridBefore w:val="1"/>
          <w:wBefore w:w="5" w:type="dxa"/>
          <w:trHeight w:val="880" w:hRule="atLeast"/>
          <w:jc w:val="center"/>
        </w:trPr>
        <w:tc>
          <w:tcPr>
            <w:tcW w:w="2156" w:type="dxa"/>
            <w:gridSpan w:val="2"/>
            <w:tcBorders>
              <w:tl2br w:val="nil"/>
              <w:tr2bl w:val="nil"/>
            </w:tcBorders>
            <w:vAlign w:val="center"/>
          </w:tcPr>
          <w:p>
            <w:pPr>
              <w:keepNext w:val="0"/>
              <w:keepLines w:val="0"/>
              <w:pageBreakBefore w:val="0"/>
              <w:kinsoku/>
              <w:wordWrap/>
              <w:overflowPunct/>
              <w:topLinePunct w:val="0"/>
              <w:autoSpaceDE/>
              <w:autoSpaceDN/>
              <w:bidi w:val="0"/>
              <w:adjustRightInd/>
              <w:spacing w:before="1" w:beforeLines="0" w:afterLines="0" w:line="440" w:lineRule="exact"/>
              <w:ind w:left="0" w:leftChars="0" w:right="0" w:rightChars="0"/>
              <w:jc w:val="both"/>
              <w:textAlignment w:val="auto"/>
              <w:rPr>
                <w:rFonts w:hint="eastAsia" w:ascii="微软雅黑" w:hAnsi="微软雅黑" w:eastAsia="微软雅黑" w:cs="微软雅黑"/>
                <w:b/>
                <w:bCs/>
                <w:color w:val="000000"/>
                <w:kern w:val="2"/>
                <w:sz w:val="21"/>
                <w:szCs w:val="21"/>
                <w:lang w:val="en-US" w:eastAsia="zh-CN" w:bidi="ar-SA"/>
              </w:rPr>
            </w:pPr>
            <w:r>
              <w:rPr>
                <w:rFonts w:hint="eastAsia" w:ascii="微软雅黑" w:hAnsi="微软雅黑" w:eastAsia="微软雅黑" w:cs="微软雅黑"/>
                <w:b w:val="0"/>
                <w:bCs w:val="0"/>
                <w:color w:val="000000"/>
                <w:sz w:val="21"/>
                <w:szCs w:val="21"/>
              </w:rPr>
              <w:t>医疗舱及改装</w:t>
            </w:r>
          </w:p>
        </w:tc>
        <w:tc>
          <w:tcPr>
            <w:tcW w:w="7668"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before="1" w:beforeLines="0" w:afterLines="0" w:line="440" w:lineRule="exact"/>
              <w:ind w:left="0" w:leftChars="0" w:right="0" w:rightChars="0"/>
              <w:jc w:val="both"/>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sz w:val="21"/>
                <w:szCs w:val="21"/>
              </w:rPr>
              <w:t>有关救护车中箱、柜、椅的具体布 置、尺寸、数量及制作将按照用户具体要求，双方确认后进行。</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0" w:type="dxa"/>
            <w:bottom w:w="0" w:type="dxa"/>
            <w:right w:w="0" w:type="dxa"/>
          </w:tblCellMar>
        </w:tblPrEx>
        <w:trPr>
          <w:gridBefore w:val="1"/>
          <w:wBefore w:w="5" w:type="dxa"/>
          <w:trHeight w:val="880" w:hRule="atLeast"/>
          <w:jc w:val="center"/>
        </w:trPr>
        <w:tc>
          <w:tcPr>
            <w:tcW w:w="2156" w:type="dxa"/>
            <w:gridSpan w:val="2"/>
            <w:tcBorders>
              <w:tl2br w:val="nil"/>
              <w:tr2bl w:val="nil"/>
            </w:tcBorders>
            <w:vAlign w:val="center"/>
          </w:tcPr>
          <w:p>
            <w:pPr>
              <w:keepNext w:val="0"/>
              <w:keepLines w:val="0"/>
              <w:pageBreakBefore w:val="0"/>
              <w:kinsoku/>
              <w:wordWrap/>
              <w:overflowPunct/>
              <w:topLinePunct w:val="0"/>
              <w:autoSpaceDE/>
              <w:autoSpaceDN/>
              <w:bidi w:val="0"/>
              <w:adjustRightInd/>
              <w:spacing w:before="1" w:beforeLines="0" w:afterLines="0" w:line="440" w:lineRule="exact"/>
              <w:ind w:left="0" w:leftChars="0" w:right="0" w:rightChars="0"/>
              <w:jc w:val="both"/>
              <w:textAlignment w:val="auto"/>
              <w:rPr>
                <w:rFonts w:hint="eastAsia" w:ascii="微软雅黑" w:hAnsi="微软雅黑" w:eastAsia="微软雅黑" w:cs="微软雅黑"/>
                <w:b w:val="0"/>
                <w:bCs w:val="0"/>
                <w:color w:val="000000"/>
                <w:kern w:val="2"/>
                <w:sz w:val="21"/>
                <w:szCs w:val="21"/>
                <w:lang w:val="en-US" w:eastAsia="zh-CN" w:bidi="ar-SA"/>
              </w:rPr>
            </w:pPr>
            <w:r>
              <w:rPr>
                <w:rFonts w:hint="eastAsia" w:ascii="微软雅黑" w:hAnsi="微软雅黑" w:eastAsia="微软雅黑" w:cs="微软雅黑"/>
                <w:b w:val="0"/>
                <w:bCs w:val="0"/>
                <w:color w:val="000000"/>
                <w:sz w:val="21"/>
                <w:szCs w:val="21"/>
              </w:rPr>
              <w:t>医疗舱内饰</w:t>
            </w:r>
          </w:p>
        </w:tc>
        <w:tc>
          <w:tcPr>
            <w:tcW w:w="7668"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before="1" w:beforeLines="0" w:afterLines="0" w:line="440" w:lineRule="exact"/>
              <w:ind w:left="0" w:leftChars="0" w:right="0" w:rightChars="0"/>
              <w:jc w:val="both"/>
              <w:textAlignment w:val="auto"/>
              <w:rPr>
                <w:rFonts w:hint="default"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kern w:val="0"/>
                <w:sz w:val="21"/>
                <w:szCs w:val="21"/>
              </w:rPr>
              <w:t>医疗舱内饰材料及装饰材料的防火性能符合GB8410－2006《汽车内饰材料的燃烧特性》的要求。</w:t>
            </w:r>
            <w:r>
              <w:rPr>
                <w:rFonts w:hint="eastAsia" w:cs="微软雅黑"/>
                <w:color w:val="000000"/>
                <w:kern w:val="0"/>
                <w:sz w:val="21"/>
                <w:szCs w:val="21"/>
                <w:lang w:val="en-US" w:eastAsia="zh-CN"/>
              </w:rPr>
              <w:t>需提供检测报告</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0" w:type="dxa"/>
            <w:bottom w:w="0" w:type="dxa"/>
            <w:right w:w="0" w:type="dxa"/>
          </w:tblCellMar>
        </w:tblPrEx>
        <w:trPr>
          <w:gridBefore w:val="1"/>
          <w:wBefore w:w="5" w:type="dxa"/>
          <w:trHeight w:val="880" w:hRule="atLeast"/>
          <w:jc w:val="center"/>
        </w:trPr>
        <w:tc>
          <w:tcPr>
            <w:tcW w:w="2156" w:type="dxa"/>
            <w:gridSpan w:val="2"/>
            <w:tcBorders>
              <w:tl2br w:val="nil"/>
              <w:tr2bl w:val="nil"/>
            </w:tcBorders>
            <w:vAlign w:val="center"/>
          </w:tcPr>
          <w:p>
            <w:pPr>
              <w:keepNext w:val="0"/>
              <w:keepLines w:val="0"/>
              <w:pageBreakBefore w:val="0"/>
              <w:kinsoku/>
              <w:wordWrap/>
              <w:overflowPunct/>
              <w:topLinePunct w:val="0"/>
              <w:autoSpaceDE/>
              <w:autoSpaceDN/>
              <w:bidi w:val="0"/>
              <w:adjustRightInd/>
              <w:spacing w:before="1" w:beforeLines="0" w:afterLines="0" w:line="440" w:lineRule="exact"/>
              <w:ind w:left="0" w:leftChars="0" w:right="0" w:rightChars="0"/>
              <w:jc w:val="both"/>
              <w:textAlignment w:val="auto"/>
              <w:rPr>
                <w:rFonts w:hint="eastAsia" w:ascii="微软雅黑" w:hAnsi="微软雅黑" w:eastAsia="微软雅黑" w:cs="微软雅黑"/>
                <w:b w:val="0"/>
                <w:bCs w:val="0"/>
                <w:color w:val="000000"/>
                <w:kern w:val="2"/>
                <w:sz w:val="21"/>
                <w:szCs w:val="21"/>
                <w:lang w:val="en-US" w:eastAsia="zh-CN" w:bidi="ar-SA"/>
              </w:rPr>
            </w:pPr>
            <w:r>
              <w:rPr>
                <w:rFonts w:hint="eastAsia" w:ascii="微软雅黑" w:hAnsi="微软雅黑" w:eastAsia="微软雅黑" w:cs="微软雅黑"/>
                <w:b w:val="0"/>
                <w:bCs w:val="0"/>
                <w:color w:val="000000"/>
                <w:kern w:val="2"/>
                <w:sz w:val="21"/>
                <w:szCs w:val="21"/>
                <w:lang w:val="en-US" w:eastAsia="zh-CN" w:bidi="ar-SA"/>
              </w:rPr>
              <w:t>内饰材料</w:t>
            </w:r>
          </w:p>
        </w:tc>
        <w:tc>
          <w:tcPr>
            <w:tcW w:w="7668"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before="1" w:beforeLines="0" w:afterLines="0" w:line="440" w:lineRule="exact"/>
              <w:ind w:left="0" w:leftChars="0" w:right="0" w:rightChars="0"/>
              <w:jc w:val="both"/>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sz w:val="21"/>
                <w:szCs w:val="21"/>
              </w:rPr>
              <w:t>医疗舱内饰（顶、左侧、右侧、中隔板等 覆盖件）材料全部采用 PVC 材料，PVC 复合材料应具有：防霉、防菌、防静电、防潮、阻燃、易清洗、易消毒、高强度、 抗老化、无异味、无毒、安全性强等优点。</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0" w:type="dxa"/>
            <w:bottom w:w="0" w:type="dxa"/>
            <w:right w:w="0" w:type="dxa"/>
          </w:tblCellMar>
        </w:tblPrEx>
        <w:trPr>
          <w:gridBefore w:val="1"/>
          <w:wBefore w:w="5" w:type="dxa"/>
          <w:trHeight w:val="880" w:hRule="atLeast"/>
          <w:jc w:val="center"/>
        </w:trPr>
        <w:tc>
          <w:tcPr>
            <w:tcW w:w="2156" w:type="dxa"/>
            <w:gridSpan w:val="2"/>
            <w:tcBorders>
              <w:tl2br w:val="nil"/>
              <w:tr2bl w:val="nil"/>
            </w:tcBorders>
            <w:vAlign w:val="center"/>
          </w:tcPr>
          <w:p>
            <w:pPr>
              <w:keepNext w:val="0"/>
              <w:keepLines w:val="0"/>
              <w:pageBreakBefore w:val="0"/>
              <w:kinsoku/>
              <w:wordWrap/>
              <w:overflowPunct/>
              <w:topLinePunct w:val="0"/>
              <w:autoSpaceDE/>
              <w:autoSpaceDN/>
              <w:bidi w:val="0"/>
              <w:adjustRightInd/>
              <w:spacing w:before="1" w:beforeLines="0" w:afterLines="0" w:line="440" w:lineRule="exact"/>
              <w:ind w:left="0" w:leftChars="0" w:right="0" w:rightChars="0"/>
              <w:jc w:val="both"/>
              <w:textAlignment w:val="auto"/>
              <w:rPr>
                <w:rFonts w:hint="eastAsia" w:ascii="微软雅黑" w:hAnsi="微软雅黑" w:eastAsia="微软雅黑" w:cs="微软雅黑"/>
                <w:b/>
                <w:bCs/>
                <w:color w:val="000000"/>
                <w:kern w:val="2"/>
                <w:sz w:val="21"/>
                <w:szCs w:val="21"/>
                <w:lang w:val="en-US" w:eastAsia="zh-CN" w:bidi="ar-SA"/>
              </w:rPr>
            </w:pPr>
            <w:r>
              <w:rPr>
                <w:rFonts w:hint="eastAsia" w:ascii="微软雅黑" w:hAnsi="微软雅黑" w:eastAsia="微软雅黑" w:cs="微软雅黑"/>
                <w:b w:val="0"/>
                <w:bCs w:val="0"/>
                <w:color w:val="000000"/>
                <w:kern w:val="2"/>
                <w:sz w:val="21"/>
                <w:szCs w:val="21"/>
                <w:lang w:val="en-US" w:eastAsia="zh-CN" w:bidi="ar-SA"/>
              </w:rPr>
              <w:t>内饰及结构件</w:t>
            </w:r>
          </w:p>
        </w:tc>
        <w:tc>
          <w:tcPr>
            <w:tcW w:w="7668"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before="1" w:beforeLines="0" w:afterLines="0" w:line="440" w:lineRule="exact"/>
              <w:ind w:left="0" w:leftChars="0" w:right="0" w:rightChars="0"/>
              <w:jc w:val="both"/>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sz w:val="21"/>
                <w:szCs w:val="21"/>
              </w:rPr>
              <w:t>医疗舱内饰及结构件安装与车身固定连接，形成具有良好密封性和保温性。</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0" w:type="dxa"/>
            <w:bottom w:w="0" w:type="dxa"/>
            <w:right w:w="0" w:type="dxa"/>
          </w:tblCellMar>
        </w:tblPrEx>
        <w:trPr>
          <w:gridBefore w:val="1"/>
          <w:wBefore w:w="5" w:type="dxa"/>
          <w:trHeight w:val="880" w:hRule="atLeast"/>
          <w:jc w:val="center"/>
        </w:trPr>
        <w:tc>
          <w:tcPr>
            <w:tcW w:w="9824" w:type="dxa"/>
            <w:gridSpan w:val="4"/>
            <w:tcBorders>
              <w:tl2br w:val="nil"/>
              <w:tr2bl w:val="nil"/>
            </w:tcBorders>
            <w:vAlign w:val="center"/>
          </w:tcPr>
          <w:p>
            <w:pPr>
              <w:keepNext w:val="0"/>
              <w:keepLines w:val="0"/>
              <w:pageBreakBefore w:val="0"/>
              <w:kinsoku/>
              <w:wordWrap/>
              <w:overflowPunct/>
              <w:topLinePunct w:val="0"/>
              <w:autoSpaceDE/>
              <w:autoSpaceDN/>
              <w:bidi w:val="0"/>
              <w:adjustRightInd/>
              <w:snapToGrid/>
              <w:spacing w:before="1" w:beforeLines="0" w:afterLines="0" w:line="440" w:lineRule="exact"/>
              <w:ind w:left="0" w:leftChars="0" w:right="0" w:rightChars="0"/>
              <w:jc w:val="both"/>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b/>
                <w:sz w:val="21"/>
                <w:szCs w:val="21"/>
              </w:rPr>
              <w:t>医疗舱橱柜内饰配置</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0" w:type="dxa"/>
            <w:bottom w:w="0" w:type="dxa"/>
            <w:right w:w="0" w:type="dxa"/>
          </w:tblCellMar>
        </w:tblPrEx>
        <w:trPr>
          <w:gridBefore w:val="1"/>
          <w:wBefore w:w="5" w:type="dxa"/>
          <w:trHeight w:val="880" w:hRule="atLeast"/>
          <w:jc w:val="center"/>
        </w:trPr>
        <w:tc>
          <w:tcPr>
            <w:tcW w:w="2156" w:type="dxa"/>
            <w:gridSpan w:val="2"/>
            <w:tcBorders>
              <w:tl2br w:val="nil"/>
              <w:tr2bl w:val="nil"/>
            </w:tcBorders>
            <w:vAlign w:val="center"/>
          </w:tcPr>
          <w:p>
            <w:pPr>
              <w:keepNext w:val="0"/>
              <w:keepLines w:val="0"/>
              <w:pageBreakBefore w:val="0"/>
              <w:kinsoku/>
              <w:wordWrap/>
              <w:overflowPunct/>
              <w:topLinePunct w:val="0"/>
              <w:autoSpaceDE/>
              <w:autoSpaceDN/>
              <w:bidi w:val="0"/>
              <w:adjustRightInd/>
              <w:spacing w:before="1" w:beforeLines="0" w:afterLines="0" w:line="440" w:lineRule="exact"/>
              <w:ind w:left="0" w:leftChars="0" w:right="0" w:rightChars="0"/>
              <w:jc w:val="both"/>
              <w:textAlignment w:val="auto"/>
              <w:rPr>
                <w:rFonts w:hint="eastAsia" w:ascii="微软雅黑" w:hAnsi="微软雅黑" w:eastAsia="微软雅黑" w:cs="微软雅黑"/>
                <w:b w:val="0"/>
                <w:bCs w:val="0"/>
                <w:color w:val="000000"/>
                <w:kern w:val="2"/>
                <w:sz w:val="21"/>
                <w:szCs w:val="21"/>
                <w:lang w:val="en-US" w:eastAsia="zh-CN" w:bidi="ar-SA"/>
              </w:rPr>
            </w:pPr>
            <w:r>
              <w:rPr>
                <w:rFonts w:hint="eastAsia" w:ascii="微软雅黑" w:hAnsi="微软雅黑" w:eastAsia="微软雅黑" w:cs="微软雅黑"/>
                <w:b w:val="0"/>
                <w:bCs w:val="0"/>
                <w:color w:val="000000"/>
                <w:sz w:val="21"/>
                <w:szCs w:val="21"/>
              </w:rPr>
              <w:t>地板</w:t>
            </w:r>
          </w:p>
        </w:tc>
        <w:tc>
          <w:tcPr>
            <w:tcW w:w="7668"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before="1" w:beforeLines="0" w:afterLines="0" w:line="440" w:lineRule="exact"/>
              <w:ind w:left="0" w:leftChars="0" w:right="0" w:rightChars="0"/>
              <w:jc w:val="both"/>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sz w:val="21"/>
                <w:szCs w:val="21"/>
              </w:rPr>
              <w:t>采用耐磨、阻燃、防滑、防霉、易清洗医疗专用地板。</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0" w:type="dxa"/>
            <w:bottom w:w="0" w:type="dxa"/>
            <w:right w:w="0" w:type="dxa"/>
          </w:tblCellMar>
        </w:tblPrEx>
        <w:trPr>
          <w:gridBefore w:val="1"/>
          <w:wBefore w:w="5" w:type="dxa"/>
          <w:trHeight w:val="880" w:hRule="atLeast"/>
          <w:jc w:val="center"/>
        </w:trPr>
        <w:tc>
          <w:tcPr>
            <w:tcW w:w="2156" w:type="dxa"/>
            <w:gridSpan w:val="2"/>
            <w:tcBorders>
              <w:tl2br w:val="nil"/>
              <w:tr2bl w:val="nil"/>
            </w:tcBorders>
            <w:vAlign w:val="center"/>
          </w:tcPr>
          <w:p>
            <w:pPr>
              <w:keepNext w:val="0"/>
              <w:keepLines w:val="0"/>
              <w:pageBreakBefore w:val="0"/>
              <w:kinsoku/>
              <w:wordWrap/>
              <w:overflowPunct/>
              <w:topLinePunct w:val="0"/>
              <w:autoSpaceDE/>
              <w:autoSpaceDN/>
              <w:bidi w:val="0"/>
              <w:adjustRightInd/>
              <w:spacing w:before="1" w:beforeLines="0" w:afterLines="0" w:line="440" w:lineRule="exact"/>
              <w:ind w:left="0" w:leftChars="0" w:right="0" w:rightChars="0"/>
              <w:jc w:val="both"/>
              <w:textAlignment w:val="auto"/>
              <w:rPr>
                <w:rFonts w:hint="eastAsia" w:ascii="微软雅黑" w:hAnsi="微软雅黑" w:eastAsia="微软雅黑" w:cs="微软雅黑"/>
                <w:b w:val="0"/>
                <w:bCs w:val="0"/>
                <w:color w:val="000000"/>
                <w:kern w:val="2"/>
                <w:sz w:val="21"/>
                <w:szCs w:val="21"/>
                <w:lang w:val="en-US" w:eastAsia="zh-CN" w:bidi="ar-SA"/>
              </w:rPr>
            </w:pPr>
            <w:r>
              <w:rPr>
                <w:rFonts w:hint="eastAsia" w:ascii="微软雅黑" w:hAnsi="微软雅黑" w:eastAsia="微软雅黑" w:cs="微软雅黑"/>
                <w:b w:val="0"/>
                <w:bCs w:val="0"/>
                <w:color w:val="000000"/>
                <w:sz w:val="21"/>
                <w:szCs w:val="21"/>
              </w:rPr>
              <w:t>中隔墙</w:t>
            </w:r>
          </w:p>
        </w:tc>
        <w:tc>
          <w:tcPr>
            <w:tcW w:w="7668"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before="1" w:beforeLines="0" w:afterLines="0" w:line="440" w:lineRule="exact"/>
              <w:ind w:left="0" w:leftChars="0" w:right="0" w:rightChars="0"/>
              <w:jc w:val="both"/>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sz w:val="21"/>
                <w:szCs w:val="21"/>
              </w:rPr>
              <w:t>采用新型环保可分解的高分子材料，配可移动式推窗，隔板安装位置不影响车辆维修。</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0" w:type="dxa"/>
            <w:bottom w:w="0" w:type="dxa"/>
            <w:right w:w="0" w:type="dxa"/>
          </w:tblCellMar>
        </w:tblPrEx>
        <w:trPr>
          <w:gridBefore w:val="1"/>
          <w:wBefore w:w="5" w:type="dxa"/>
          <w:trHeight w:val="880" w:hRule="atLeast"/>
          <w:jc w:val="center"/>
        </w:trPr>
        <w:tc>
          <w:tcPr>
            <w:tcW w:w="2156" w:type="dxa"/>
            <w:gridSpan w:val="2"/>
            <w:tcBorders>
              <w:tl2br w:val="nil"/>
              <w:tr2bl w:val="nil"/>
            </w:tcBorders>
            <w:vAlign w:val="center"/>
          </w:tcPr>
          <w:p>
            <w:pPr>
              <w:keepNext w:val="0"/>
              <w:keepLines w:val="0"/>
              <w:pageBreakBefore w:val="0"/>
              <w:kinsoku/>
              <w:wordWrap/>
              <w:overflowPunct/>
              <w:topLinePunct w:val="0"/>
              <w:autoSpaceDE/>
              <w:autoSpaceDN/>
              <w:bidi w:val="0"/>
              <w:adjustRightInd/>
              <w:spacing w:before="1" w:beforeLines="0" w:afterLines="0" w:line="440" w:lineRule="exact"/>
              <w:ind w:left="0" w:leftChars="0" w:right="0" w:rightChars="0"/>
              <w:jc w:val="both"/>
              <w:textAlignment w:val="auto"/>
              <w:rPr>
                <w:rFonts w:hint="eastAsia" w:ascii="微软雅黑" w:hAnsi="微软雅黑" w:eastAsia="微软雅黑" w:cs="微软雅黑"/>
                <w:b w:val="0"/>
                <w:bCs w:val="0"/>
                <w:color w:val="000000"/>
                <w:kern w:val="2"/>
                <w:sz w:val="21"/>
                <w:szCs w:val="21"/>
                <w:lang w:val="en-US" w:eastAsia="zh-CN" w:bidi="ar-SA"/>
              </w:rPr>
            </w:pPr>
            <w:r>
              <w:rPr>
                <w:rFonts w:hint="eastAsia" w:ascii="微软雅黑" w:hAnsi="微软雅黑" w:eastAsia="微软雅黑" w:cs="微软雅黑"/>
                <w:b w:val="0"/>
                <w:bCs w:val="0"/>
                <w:color w:val="000000"/>
                <w:sz w:val="21"/>
                <w:szCs w:val="21"/>
              </w:rPr>
              <w:t>药品柜</w:t>
            </w:r>
          </w:p>
        </w:tc>
        <w:tc>
          <w:tcPr>
            <w:tcW w:w="7668"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before="1" w:beforeLines="0" w:afterLines="0" w:line="440" w:lineRule="exact"/>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药品柜可分别放置一次性耗材、注射用品、外伤包扎用品、隔离防护用品、插管箱、按压泵、软担架、等急救药械，需采用高分子板材制作，不吸水、易清洗，边角均应采用圆角过度，封边及接口处不可有触手感。</w:t>
            </w:r>
          </w:p>
          <w:p>
            <w:pPr>
              <w:pStyle w:val="2"/>
              <w:keepNext w:val="0"/>
              <w:keepLines w:val="0"/>
              <w:pageBreakBefore w:val="0"/>
              <w:kinsoku/>
              <w:wordWrap/>
              <w:overflowPunct/>
              <w:topLinePunct w:val="0"/>
              <w:autoSpaceDE/>
              <w:autoSpaceDN/>
              <w:bidi w:val="0"/>
              <w:adjustRightInd/>
              <w:spacing w:line="440" w:lineRule="exact"/>
              <w:ind w:left="0" w:leftChars="0" w:right="0" w:rightChars="0"/>
              <w:jc w:val="both"/>
              <w:textAlignment w:val="auto"/>
              <w:rPr>
                <w:rFonts w:hint="eastAsia" w:ascii="微软雅黑" w:hAnsi="微软雅黑" w:eastAsia="微软雅黑" w:cs="微软雅黑"/>
                <w:sz w:val="21"/>
                <w:szCs w:val="21"/>
                <w:lang w:val="en-US" w:eastAsia="zh-CN" w:bidi="zh-CN"/>
              </w:rPr>
            </w:pPr>
            <w:r>
              <w:rPr>
                <w:rFonts w:hint="eastAsia" w:ascii="微软雅黑" w:hAnsi="微软雅黑" w:eastAsia="微软雅黑" w:cs="微软雅黑"/>
                <w:color w:val="000000"/>
                <w:kern w:val="0"/>
                <w:sz w:val="21"/>
                <w:szCs w:val="21"/>
              </w:rPr>
              <w:t>药品器械柜的布置要便于医护人员的操作。</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0" w:type="dxa"/>
            <w:bottom w:w="0" w:type="dxa"/>
            <w:right w:w="0" w:type="dxa"/>
          </w:tblCellMar>
        </w:tblPrEx>
        <w:trPr>
          <w:gridBefore w:val="1"/>
          <w:wBefore w:w="5" w:type="dxa"/>
          <w:trHeight w:val="880" w:hRule="atLeast"/>
          <w:jc w:val="center"/>
        </w:trPr>
        <w:tc>
          <w:tcPr>
            <w:tcW w:w="2156" w:type="dxa"/>
            <w:gridSpan w:val="2"/>
            <w:tcBorders>
              <w:tl2br w:val="nil"/>
              <w:tr2bl w:val="nil"/>
            </w:tcBorders>
            <w:vAlign w:val="center"/>
          </w:tcPr>
          <w:p>
            <w:pPr>
              <w:keepNext w:val="0"/>
              <w:keepLines w:val="0"/>
              <w:pageBreakBefore w:val="0"/>
              <w:kinsoku/>
              <w:wordWrap/>
              <w:overflowPunct/>
              <w:topLinePunct w:val="0"/>
              <w:autoSpaceDE/>
              <w:autoSpaceDN/>
              <w:bidi w:val="0"/>
              <w:adjustRightInd/>
              <w:spacing w:before="1" w:beforeLines="0" w:afterLines="0" w:line="440" w:lineRule="exact"/>
              <w:ind w:left="0" w:leftChars="0" w:right="0" w:rightChars="0"/>
              <w:jc w:val="both"/>
              <w:textAlignment w:val="auto"/>
              <w:rPr>
                <w:rFonts w:hint="eastAsia" w:ascii="微软雅黑" w:hAnsi="微软雅黑" w:eastAsia="微软雅黑" w:cs="微软雅黑"/>
                <w:b w:val="0"/>
                <w:bCs w:val="0"/>
                <w:color w:val="000000"/>
                <w:kern w:val="2"/>
                <w:sz w:val="21"/>
                <w:szCs w:val="21"/>
                <w:lang w:val="en-US" w:eastAsia="zh-CN" w:bidi="ar-SA"/>
              </w:rPr>
            </w:pPr>
            <w:r>
              <w:rPr>
                <w:rFonts w:hint="eastAsia" w:ascii="微软雅黑" w:hAnsi="微软雅黑" w:eastAsia="微软雅黑" w:cs="微软雅黑"/>
                <w:b w:val="0"/>
                <w:bCs w:val="0"/>
                <w:color w:val="000000"/>
                <w:sz w:val="21"/>
                <w:szCs w:val="21"/>
              </w:rPr>
              <w:t>器械平台</w:t>
            </w:r>
          </w:p>
        </w:tc>
        <w:tc>
          <w:tcPr>
            <w:tcW w:w="7668"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before="1" w:beforeLines="0" w:afterLines="0" w:line="440" w:lineRule="exact"/>
              <w:ind w:left="0" w:leftChars="0" w:right="0" w:rightChars="0"/>
              <w:jc w:val="both"/>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sz w:val="21"/>
                <w:szCs w:val="21"/>
              </w:rPr>
              <w:t>位于左侧中部，能够放置急救设备，安装牢固，便于医护人员的观察和操作。</w:t>
            </w:r>
            <w:r>
              <w:rPr>
                <w:rFonts w:hint="eastAsia" w:cs="微软雅黑"/>
                <w:color w:val="000000"/>
                <w:sz w:val="21"/>
                <w:szCs w:val="21"/>
                <w:lang w:eastAsia="zh-CN"/>
              </w:rPr>
              <w:t>（当医疗设备过多时可选择三层设备托盘）</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0" w:type="dxa"/>
            <w:bottom w:w="0" w:type="dxa"/>
            <w:right w:w="0" w:type="dxa"/>
          </w:tblCellMar>
        </w:tblPrEx>
        <w:trPr>
          <w:gridBefore w:val="1"/>
          <w:wBefore w:w="5" w:type="dxa"/>
          <w:trHeight w:val="880" w:hRule="atLeast"/>
          <w:jc w:val="center"/>
        </w:trPr>
        <w:tc>
          <w:tcPr>
            <w:tcW w:w="2156" w:type="dxa"/>
            <w:gridSpan w:val="2"/>
            <w:tcBorders>
              <w:tl2br w:val="nil"/>
              <w:tr2bl w:val="nil"/>
            </w:tcBorders>
            <w:vAlign w:val="center"/>
          </w:tcPr>
          <w:p>
            <w:pPr>
              <w:keepNext w:val="0"/>
              <w:keepLines w:val="0"/>
              <w:pageBreakBefore w:val="0"/>
              <w:kinsoku/>
              <w:wordWrap/>
              <w:overflowPunct/>
              <w:topLinePunct w:val="0"/>
              <w:autoSpaceDE/>
              <w:autoSpaceDN/>
              <w:bidi w:val="0"/>
              <w:adjustRightInd/>
              <w:spacing w:before="1" w:beforeLines="0" w:afterLines="0" w:line="440" w:lineRule="exact"/>
              <w:ind w:left="0" w:leftChars="0" w:right="0" w:rightChars="0"/>
              <w:jc w:val="both"/>
              <w:textAlignment w:val="auto"/>
              <w:rPr>
                <w:rFonts w:hint="eastAsia" w:ascii="微软雅黑" w:hAnsi="微软雅黑" w:eastAsia="微软雅黑" w:cs="微软雅黑"/>
                <w:b w:val="0"/>
                <w:bCs w:val="0"/>
                <w:color w:val="000000"/>
                <w:kern w:val="2"/>
                <w:sz w:val="21"/>
                <w:szCs w:val="21"/>
                <w:lang w:val="en-US" w:eastAsia="zh-CN" w:bidi="ar-SA"/>
              </w:rPr>
            </w:pPr>
            <w:r>
              <w:rPr>
                <w:rFonts w:hint="eastAsia" w:ascii="微软雅黑" w:hAnsi="微软雅黑" w:eastAsia="微软雅黑" w:cs="微软雅黑"/>
                <w:b w:val="0"/>
                <w:bCs w:val="0"/>
                <w:color w:val="000000"/>
                <w:sz w:val="21"/>
                <w:szCs w:val="21"/>
              </w:rPr>
              <w:t>医生椅</w:t>
            </w:r>
          </w:p>
        </w:tc>
        <w:tc>
          <w:tcPr>
            <w:tcW w:w="7668"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before="1" w:beforeLines="0" w:afterLines="0" w:line="440" w:lineRule="exact"/>
              <w:ind w:left="0" w:leftChars="0" w:right="0" w:rightChars="0"/>
              <w:jc w:val="both"/>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sz w:val="21"/>
                <w:szCs w:val="21"/>
              </w:rPr>
              <w:t>应位于医疗舱右侧柜式</w:t>
            </w:r>
            <w:r>
              <w:rPr>
                <w:rFonts w:hint="eastAsia" w:ascii="微软雅黑" w:hAnsi="微软雅黑" w:eastAsia="微软雅黑" w:cs="微软雅黑"/>
                <w:color w:val="000000"/>
                <w:sz w:val="21"/>
                <w:szCs w:val="21"/>
                <w:lang w:eastAsia="zh-CN"/>
              </w:rPr>
              <w:t>座</w:t>
            </w:r>
            <w:r>
              <w:rPr>
                <w:rFonts w:hint="eastAsia" w:ascii="微软雅黑" w:hAnsi="微软雅黑" w:eastAsia="微软雅黑" w:cs="微软雅黑"/>
                <w:color w:val="000000"/>
                <w:sz w:val="21"/>
                <w:szCs w:val="21"/>
              </w:rPr>
              <w:t>前方，医生椅的固定符合GB15083汽车座椅、座椅固定装置及头枕强度要求。</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0" w:type="dxa"/>
            <w:bottom w:w="0" w:type="dxa"/>
            <w:right w:w="0" w:type="dxa"/>
          </w:tblCellMar>
        </w:tblPrEx>
        <w:trPr>
          <w:gridBefore w:val="1"/>
          <w:wBefore w:w="5" w:type="dxa"/>
          <w:trHeight w:val="880" w:hRule="atLeast"/>
          <w:jc w:val="center"/>
        </w:trPr>
        <w:tc>
          <w:tcPr>
            <w:tcW w:w="2156" w:type="dxa"/>
            <w:gridSpan w:val="2"/>
            <w:tcBorders>
              <w:tl2br w:val="nil"/>
              <w:tr2bl w:val="nil"/>
            </w:tcBorders>
            <w:vAlign w:val="center"/>
          </w:tcPr>
          <w:p>
            <w:pPr>
              <w:keepNext w:val="0"/>
              <w:keepLines w:val="0"/>
              <w:pageBreakBefore w:val="0"/>
              <w:kinsoku/>
              <w:wordWrap/>
              <w:overflowPunct/>
              <w:topLinePunct w:val="0"/>
              <w:autoSpaceDE/>
              <w:autoSpaceDN/>
              <w:bidi w:val="0"/>
              <w:adjustRightInd/>
              <w:spacing w:before="1" w:beforeLines="0" w:afterLines="0" w:line="440" w:lineRule="exact"/>
              <w:ind w:left="0" w:leftChars="0" w:right="0" w:rightChars="0"/>
              <w:jc w:val="both"/>
              <w:textAlignment w:val="auto"/>
              <w:rPr>
                <w:rFonts w:hint="eastAsia" w:ascii="微软雅黑" w:hAnsi="微软雅黑" w:eastAsia="微软雅黑" w:cs="微软雅黑"/>
                <w:b w:val="0"/>
                <w:bCs w:val="0"/>
                <w:color w:val="000000"/>
                <w:sz w:val="21"/>
                <w:szCs w:val="21"/>
              </w:rPr>
            </w:pPr>
            <w:r>
              <w:rPr>
                <w:rFonts w:hint="eastAsia" w:cs="微软雅黑"/>
                <w:b w:val="0"/>
                <w:bCs w:val="0"/>
                <w:color w:val="000000"/>
                <w:sz w:val="21"/>
                <w:szCs w:val="21"/>
                <w:lang w:eastAsia="zh-CN"/>
              </w:rPr>
              <w:t>陪护</w:t>
            </w:r>
            <w:r>
              <w:rPr>
                <w:rFonts w:hint="eastAsia" w:ascii="微软雅黑" w:hAnsi="微软雅黑" w:eastAsia="微软雅黑" w:cs="微软雅黑"/>
                <w:b w:val="0"/>
                <w:bCs w:val="0"/>
                <w:color w:val="000000"/>
                <w:sz w:val="21"/>
                <w:szCs w:val="21"/>
              </w:rPr>
              <w:t>座椅</w:t>
            </w:r>
          </w:p>
        </w:tc>
        <w:tc>
          <w:tcPr>
            <w:tcW w:w="7668"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before="1" w:beforeLines="0" w:afterLines="0" w:line="440" w:lineRule="exact"/>
              <w:ind w:left="0" w:leftChars="0" w:right="0" w:rightChars="0"/>
              <w:jc w:val="both"/>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b w:val="0"/>
                <w:bCs w:val="0"/>
                <w:color w:val="000000"/>
                <w:sz w:val="21"/>
                <w:szCs w:val="21"/>
              </w:rPr>
              <w:t>采用新型环保可分解的高分子材料制作，可坐二人（带安全带），座椅的座垫便于冲洗消毒，安全带装配牢固、耐用、可靠。</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0" w:type="dxa"/>
            <w:bottom w:w="0" w:type="dxa"/>
            <w:right w:w="0" w:type="dxa"/>
          </w:tblCellMar>
        </w:tblPrEx>
        <w:trPr>
          <w:gridBefore w:val="1"/>
          <w:wBefore w:w="5" w:type="dxa"/>
          <w:trHeight w:val="880" w:hRule="atLeast"/>
          <w:jc w:val="center"/>
        </w:trPr>
        <w:tc>
          <w:tcPr>
            <w:tcW w:w="2156" w:type="dxa"/>
            <w:gridSpan w:val="2"/>
            <w:tcBorders>
              <w:tl2br w:val="nil"/>
              <w:tr2bl w:val="nil"/>
            </w:tcBorders>
            <w:vAlign w:val="center"/>
          </w:tcPr>
          <w:p>
            <w:pPr>
              <w:keepNext w:val="0"/>
              <w:keepLines w:val="0"/>
              <w:pageBreakBefore w:val="0"/>
              <w:kinsoku/>
              <w:wordWrap/>
              <w:overflowPunct/>
              <w:topLinePunct w:val="0"/>
              <w:autoSpaceDE/>
              <w:autoSpaceDN/>
              <w:bidi w:val="0"/>
              <w:adjustRightInd/>
              <w:spacing w:before="1" w:beforeLines="0" w:afterLines="0" w:line="440" w:lineRule="exact"/>
              <w:ind w:left="0" w:leftChars="0" w:right="0" w:rightChars="0"/>
              <w:jc w:val="both"/>
              <w:textAlignment w:val="auto"/>
              <w:rPr>
                <w:rFonts w:hint="eastAsia" w:ascii="微软雅黑" w:hAnsi="微软雅黑" w:eastAsia="微软雅黑" w:cs="微软雅黑"/>
                <w:b w:val="0"/>
                <w:bCs w:val="0"/>
                <w:color w:val="000000"/>
                <w:kern w:val="2"/>
                <w:sz w:val="21"/>
                <w:szCs w:val="21"/>
                <w:lang w:val="en-US" w:eastAsia="zh-CN" w:bidi="ar-SA"/>
              </w:rPr>
            </w:pPr>
            <w:r>
              <w:rPr>
                <w:rFonts w:hint="eastAsia" w:ascii="微软雅黑" w:hAnsi="微软雅黑" w:eastAsia="微软雅黑" w:cs="微软雅黑"/>
                <w:b w:val="0"/>
                <w:bCs w:val="0"/>
                <w:color w:val="000000"/>
                <w:sz w:val="21"/>
                <w:szCs w:val="21"/>
              </w:rPr>
              <w:t>氧气瓶柜</w:t>
            </w:r>
          </w:p>
        </w:tc>
        <w:tc>
          <w:tcPr>
            <w:tcW w:w="7668"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before="1" w:beforeLines="0" w:afterLines="0" w:line="440" w:lineRule="exact"/>
              <w:ind w:left="0" w:leftChars="0" w:right="0" w:rightChars="0"/>
              <w:jc w:val="both"/>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sz w:val="21"/>
                <w:szCs w:val="21"/>
              </w:rPr>
              <w:t>采用新型环保可分解的高分子材料，位于医疗舱左侧</w:t>
            </w:r>
            <w:r>
              <w:rPr>
                <w:rFonts w:hint="eastAsia" w:ascii="微软雅黑" w:hAnsi="微软雅黑" w:eastAsia="微软雅黑" w:cs="微软雅黑"/>
                <w:color w:val="000000"/>
                <w:sz w:val="21"/>
                <w:szCs w:val="21"/>
                <w:lang w:eastAsia="zh-CN"/>
              </w:rPr>
              <w:t>后部</w:t>
            </w:r>
            <w:r>
              <w:rPr>
                <w:rFonts w:hint="eastAsia" w:ascii="微软雅黑" w:hAnsi="微软雅黑" w:eastAsia="微软雅黑" w:cs="微软雅黑"/>
                <w:color w:val="000000"/>
                <w:sz w:val="21"/>
                <w:szCs w:val="21"/>
              </w:rPr>
              <w:t>，操作方便，并可放置2个10升氧气瓶的空间。</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0" w:type="dxa"/>
            <w:bottom w:w="0" w:type="dxa"/>
            <w:right w:w="0" w:type="dxa"/>
          </w:tblCellMar>
        </w:tblPrEx>
        <w:trPr>
          <w:gridBefore w:val="1"/>
          <w:wBefore w:w="5" w:type="dxa"/>
          <w:trHeight w:val="880" w:hRule="atLeast"/>
          <w:jc w:val="center"/>
        </w:trPr>
        <w:tc>
          <w:tcPr>
            <w:tcW w:w="2156" w:type="dxa"/>
            <w:gridSpan w:val="2"/>
            <w:tcBorders>
              <w:tl2br w:val="nil"/>
              <w:tr2bl w:val="nil"/>
            </w:tcBorders>
            <w:vAlign w:val="center"/>
          </w:tcPr>
          <w:p>
            <w:pPr>
              <w:keepNext w:val="0"/>
              <w:keepLines w:val="0"/>
              <w:pageBreakBefore w:val="0"/>
              <w:kinsoku/>
              <w:wordWrap/>
              <w:overflowPunct/>
              <w:topLinePunct w:val="0"/>
              <w:autoSpaceDE/>
              <w:autoSpaceDN/>
              <w:bidi w:val="0"/>
              <w:adjustRightInd/>
              <w:spacing w:before="1" w:beforeLines="0" w:afterLines="0" w:line="440" w:lineRule="exact"/>
              <w:ind w:left="0" w:leftChars="0" w:right="0" w:rightChars="0"/>
              <w:jc w:val="both"/>
              <w:textAlignment w:val="auto"/>
              <w:rPr>
                <w:rFonts w:hint="eastAsia" w:ascii="微软雅黑" w:hAnsi="微软雅黑" w:eastAsia="微软雅黑" w:cs="微软雅黑"/>
                <w:b w:val="0"/>
                <w:bCs w:val="0"/>
                <w:color w:val="000000"/>
                <w:kern w:val="2"/>
                <w:sz w:val="21"/>
                <w:szCs w:val="21"/>
                <w:lang w:val="en-US" w:eastAsia="zh-CN" w:bidi="ar-SA"/>
              </w:rPr>
            </w:pPr>
            <w:r>
              <w:rPr>
                <w:rFonts w:hint="eastAsia" w:ascii="微软雅黑" w:hAnsi="微软雅黑" w:eastAsia="微软雅黑" w:cs="微软雅黑"/>
                <w:b w:val="0"/>
                <w:bCs w:val="0"/>
                <w:color w:val="000000"/>
                <w:sz w:val="21"/>
                <w:szCs w:val="21"/>
              </w:rPr>
              <w:t>集成内顶</w:t>
            </w:r>
          </w:p>
        </w:tc>
        <w:tc>
          <w:tcPr>
            <w:tcW w:w="7668"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before="1" w:beforeLines="0" w:afterLines="0" w:line="440" w:lineRule="exact"/>
              <w:ind w:left="0" w:leftChars="0" w:right="0" w:rightChars="0"/>
              <w:jc w:val="both"/>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sz w:val="21"/>
                <w:szCs w:val="21"/>
              </w:rPr>
              <w:t>集成内顶</w:t>
            </w:r>
            <w:r>
              <w:rPr>
                <w:rFonts w:hint="eastAsia" w:ascii="微软雅黑" w:hAnsi="微软雅黑" w:eastAsia="微软雅黑" w:cs="微软雅黑"/>
                <w:color w:val="000000"/>
                <w:sz w:val="21"/>
                <w:szCs w:val="21"/>
                <w:lang w:eastAsia="zh-CN"/>
              </w:rPr>
              <w:t>有</w:t>
            </w:r>
            <w:r>
              <w:rPr>
                <w:rFonts w:hint="eastAsia" w:ascii="微软雅黑" w:hAnsi="微软雅黑" w:eastAsia="微软雅黑" w:cs="微软雅黑"/>
                <w:color w:val="000000"/>
                <w:sz w:val="21"/>
                <w:szCs w:val="21"/>
              </w:rPr>
              <w:t>集成照明、输液</w:t>
            </w:r>
            <w:r>
              <w:rPr>
                <w:rFonts w:hint="eastAsia" w:ascii="微软雅黑" w:hAnsi="微软雅黑" w:eastAsia="微软雅黑" w:cs="微软雅黑"/>
                <w:color w:val="000000"/>
                <w:sz w:val="21"/>
                <w:szCs w:val="21"/>
                <w:lang w:eastAsia="zh-CN"/>
              </w:rPr>
              <w:t>、安全防护</w:t>
            </w:r>
            <w:r>
              <w:rPr>
                <w:rFonts w:hint="eastAsia" w:ascii="微软雅黑" w:hAnsi="微软雅黑" w:eastAsia="微软雅黑" w:cs="微软雅黑"/>
                <w:color w:val="000000"/>
                <w:sz w:val="21"/>
                <w:szCs w:val="21"/>
              </w:rPr>
              <w:t>等功能，采用先进成型工艺，其设计合理方便医护人员开展抢救工作，用材质地优良，做工精良、耐用。</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0" w:type="dxa"/>
            <w:bottom w:w="0" w:type="dxa"/>
            <w:right w:w="0" w:type="dxa"/>
          </w:tblCellMar>
        </w:tblPrEx>
        <w:trPr>
          <w:gridBefore w:val="1"/>
          <w:wBefore w:w="5" w:type="dxa"/>
          <w:trHeight w:val="880" w:hRule="atLeast"/>
          <w:jc w:val="center"/>
        </w:trPr>
        <w:tc>
          <w:tcPr>
            <w:tcW w:w="9824" w:type="dxa"/>
            <w:gridSpan w:val="4"/>
            <w:tcBorders>
              <w:tl2br w:val="nil"/>
              <w:tr2bl w:val="nil"/>
            </w:tcBorders>
            <w:vAlign w:val="center"/>
          </w:tcPr>
          <w:p>
            <w:pPr>
              <w:keepNext w:val="0"/>
              <w:keepLines w:val="0"/>
              <w:pageBreakBefore w:val="0"/>
              <w:kinsoku/>
              <w:wordWrap/>
              <w:overflowPunct/>
              <w:topLinePunct w:val="0"/>
              <w:autoSpaceDE/>
              <w:autoSpaceDN/>
              <w:bidi w:val="0"/>
              <w:adjustRightInd/>
              <w:snapToGrid/>
              <w:spacing w:before="1" w:beforeLines="0" w:afterLines="0" w:line="440" w:lineRule="exact"/>
              <w:ind w:left="0" w:leftChars="0" w:right="0" w:rightChars="0"/>
              <w:jc w:val="both"/>
              <w:textAlignment w:val="auto"/>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b/>
                <w:bCs/>
                <w:color w:val="000000"/>
                <w:sz w:val="21"/>
                <w:szCs w:val="21"/>
                <w:lang w:eastAsia="zh-CN"/>
              </w:rPr>
              <w:t>医疗供电系统</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0" w:type="dxa"/>
            <w:bottom w:w="0" w:type="dxa"/>
            <w:right w:w="0" w:type="dxa"/>
          </w:tblCellMar>
        </w:tblPrEx>
        <w:trPr>
          <w:gridBefore w:val="1"/>
          <w:wBefore w:w="5" w:type="dxa"/>
          <w:trHeight w:val="880" w:hRule="atLeast"/>
          <w:jc w:val="center"/>
        </w:trPr>
        <w:tc>
          <w:tcPr>
            <w:tcW w:w="2156" w:type="dxa"/>
            <w:gridSpan w:val="2"/>
            <w:tcBorders>
              <w:tl2br w:val="nil"/>
              <w:tr2bl w:val="nil"/>
            </w:tcBorders>
            <w:vAlign w:val="center"/>
          </w:tcPr>
          <w:p>
            <w:pPr>
              <w:keepNext w:val="0"/>
              <w:keepLines w:val="0"/>
              <w:pageBreakBefore w:val="0"/>
              <w:kinsoku/>
              <w:wordWrap/>
              <w:overflowPunct/>
              <w:topLinePunct w:val="0"/>
              <w:autoSpaceDE/>
              <w:autoSpaceDN/>
              <w:bidi w:val="0"/>
              <w:adjustRightInd/>
              <w:spacing w:before="1" w:beforeLines="0" w:afterLines="0" w:line="440" w:lineRule="exact"/>
              <w:ind w:left="0" w:leftChars="0" w:right="0" w:rightChars="0"/>
              <w:jc w:val="both"/>
              <w:textAlignment w:val="auto"/>
              <w:rPr>
                <w:rFonts w:hint="eastAsia" w:ascii="微软雅黑" w:hAnsi="微软雅黑" w:eastAsia="微软雅黑" w:cs="微软雅黑"/>
                <w:b/>
                <w:bCs/>
                <w:color w:val="000000"/>
                <w:kern w:val="2"/>
                <w:sz w:val="21"/>
                <w:szCs w:val="21"/>
                <w:lang w:val="en-US" w:eastAsia="zh-CN" w:bidi="ar-SA"/>
              </w:rPr>
            </w:pPr>
            <w:r>
              <w:rPr>
                <w:rFonts w:hint="eastAsia" w:ascii="微软雅黑" w:hAnsi="微软雅黑" w:eastAsia="微软雅黑" w:cs="微软雅黑"/>
                <w:b w:val="0"/>
                <w:bCs w:val="0"/>
                <w:kern w:val="0"/>
                <w:sz w:val="21"/>
                <w:szCs w:val="21"/>
              </w:rPr>
              <w:t>中央电源分配系统</w:t>
            </w:r>
          </w:p>
        </w:tc>
        <w:tc>
          <w:tcPr>
            <w:tcW w:w="7668"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before="1" w:beforeLines="0" w:afterLines="0" w:line="440" w:lineRule="exact"/>
              <w:ind w:left="0" w:leftChars="0" w:right="0" w:rightChars="0"/>
              <w:jc w:val="both"/>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sz w:val="21"/>
                <w:szCs w:val="21"/>
              </w:rPr>
              <w:t>由主电瓶、辅助电瓶、智能充电控制装置、带充电功能正弦波逆变器、线束、控制面板构成。</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0" w:type="dxa"/>
            <w:bottom w:w="0" w:type="dxa"/>
            <w:right w:w="0" w:type="dxa"/>
          </w:tblCellMar>
        </w:tblPrEx>
        <w:trPr>
          <w:gridBefore w:val="1"/>
          <w:wBefore w:w="5" w:type="dxa"/>
          <w:trHeight w:val="5893" w:hRule="atLeast"/>
          <w:jc w:val="center"/>
        </w:trPr>
        <w:tc>
          <w:tcPr>
            <w:tcW w:w="2156" w:type="dxa"/>
            <w:gridSpan w:val="2"/>
            <w:tcBorders>
              <w:tl2br w:val="nil"/>
              <w:tr2bl w:val="nil"/>
            </w:tcBorders>
            <w:vAlign w:val="center"/>
          </w:tcPr>
          <w:p>
            <w:pPr>
              <w:keepNext w:val="0"/>
              <w:keepLines w:val="0"/>
              <w:pageBreakBefore w:val="0"/>
              <w:kinsoku/>
              <w:wordWrap/>
              <w:overflowPunct/>
              <w:topLinePunct w:val="0"/>
              <w:autoSpaceDE/>
              <w:autoSpaceDN/>
              <w:bidi w:val="0"/>
              <w:adjustRightInd/>
              <w:spacing w:before="219" w:beforeLines="0" w:afterLines="0" w:line="440" w:lineRule="exact"/>
              <w:ind w:left="0" w:leftChars="0" w:right="0" w:rightChars="0"/>
              <w:jc w:val="both"/>
              <w:textAlignment w:val="auto"/>
              <w:rPr>
                <w:rFonts w:hint="eastAsia" w:ascii="微软雅黑" w:hAnsi="微软雅黑" w:eastAsia="微软雅黑" w:cs="微软雅黑"/>
                <w:b/>
                <w:bCs/>
                <w:color w:val="000000"/>
                <w:kern w:val="2"/>
                <w:sz w:val="21"/>
                <w:szCs w:val="21"/>
                <w:lang w:val="en-US" w:eastAsia="zh-CN" w:bidi="ar-SA"/>
              </w:rPr>
            </w:pPr>
            <w:r>
              <w:rPr>
                <w:rFonts w:hint="eastAsia" w:ascii="微软雅黑" w:hAnsi="微软雅黑" w:eastAsia="微软雅黑" w:cs="微软雅黑"/>
                <w:b w:val="0"/>
                <w:bCs w:val="0"/>
                <w:color w:val="000000"/>
                <w:sz w:val="21"/>
                <w:szCs w:val="21"/>
              </w:rPr>
              <w:t>逆变器</w:t>
            </w:r>
          </w:p>
        </w:tc>
        <w:tc>
          <w:tcPr>
            <w:tcW w:w="7668"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before="1" w:beforeLines="0" w:afterLines="0" w:line="440" w:lineRule="exact"/>
              <w:ind w:left="0" w:leftChars="0" w:right="0" w:rightChars="0"/>
              <w:jc w:val="both"/>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安装使用新型的一种救护车车载电源装置1000W纯正弦波逆变器。</w:t>
            </w:r>
          </w:p>
          <w:p>
            <w:pPr>
              <w:keepNext w:val="0"/>
              <w:keepLines w:val="0"/>
              <w:pageBreakBefore w:val="0"/>
              <w:kinsoku/>
              <w:wordWrap/>
              <w:overflowPunct/>
              <w:topLinePunct w:val="0"/>
              <w:autoSpaceDE/>
              <w:autoSpaceDN/>
              <w:bidi w:val="0"/>
              <w:adjustRightInd/>
              <w:snapToGrid/>
              <w:spacing w:before="1" w:beforeLines="0" w:afterLines="0" w:line="440" w:lineRule="exact"/>
              <w:ind w:left="0" w:leftChars="0" w:right="0" w:rightChars="0"/>
              <w:jc w:val="both"/>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性能要求：</w:t>
            </w:r>
          </w:p>
          <w:p>
            <w:pPr>
              <w:keepNext w:val="0"/>
              <w:keepLines w:val="0"/>
              <w:pageBreakBefore w:val="0"/>
              <w:kinsoku/>
              <w:wordWrap/>
              <w:overflowPunct/>
              <w:topLinePunct w:val="0"/>
              <w:autoSpaceDE/>
              <w:autoSpaceDN/>
              <w:bidi w:val="0"/>
              <w:adjustRightInd/>
              <w:snapToGrid/>
              <w:spacing w:before="1" w:beforeLines="0" w:afterLines="0" w:line="440" w:lineRule="exact"/>
              <w:ind w:left="0" w:leftChars="0" w:right="0" w:rightChars="0"/>
              <w:jc w:val="both"/>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1、工频逆变技术、不小于1000W纯正弦波输出；</w:t>
            </w:r>
          </w:p>
          <w:p>
            <w:pPr>
              <w:keepNext w:val="0"/>
              <w:keepLines w:val="0"/>
              <w:pageBreakBefore w:val="0"/>
              <w:kinsoku/>
              <w:wordWrap/>
              <w:overflowPunct/>
              <w:topLinePunct w:val="0"/>
              <w:autoSpaceDE/>
              <w:autoSpaceDN/>
              <w:bidi w:val="0"/>
              <w:adjustRightInd/>
              <w:snapToGrid/>
              <w:spacing w:before="1" w:beforeLines="0" w:afterLines="0" w:line="440" w:lineRule="exact"/>
              <w:ind w:left="0" w:leftChars="0" w:right="0" w:rightChars="0"/>
              <w:jc w:val="both"/>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2、可持续不间断供电、带市电互补，具有UPS功能，切换时间8ms以内；</w:t>
            </w:r>
          </w:p>
          <w:p>
            <w:pPr>
              <w:keepNext w:val="0"/>
              <w:keepLines w:val="0"/>
              <w:pageBreakBefore w:val="0"/>
              <w:kinsoku/>
              <w:wordWrap/>
              <w:overflowPunct/>
              <w:topLinePunct w:val="0"/>
              <w:autoSpaceDE/>
              <w:autoSpaceDN/>
              <w:bidi w:val="0"/>
              <w:adjustRightInd/>
              <w:snapToGrid/>
              <w:spacing w:before="1" w:beforeLines="0" w:afterLines="0" w:line="440" w:lineRule="exact"/>
              <w:ind w:left="0" w:leftChars="0" w:right="0" w:rightChars="0"/>
              <w:jc w:val="both"/>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3、同时具有逆变器和稳压器功能，可确保负载设备长期稳定运行；</w:t>
            </w:r>
          </w:p>
          <w:p>
            <w:pPr>
              <w:keepNext w:val="0"/>
              <w:keepLines w:val="0"/>
              <w:pageBreakBefore w:val="0"/>
              <w:kinsoku/>
              <w:wordWrap/>
              <w:overflowPunct/>
              <w:topLinePunct w:val="0"/>
              <w:autoSpaceDE/>
              <w:autoSpaceDN/>
              <w:bidi w:val="0"/>
              <w:adjustRightInd/>
              <w:snapToGrid/>
              <w:spacing w:before="1" w:beforeLines="0" w:afterLines="0" w:line="440" w:lineRule="exact"/>
              <w:ind w:left="0" w:leftChars="0" w:right="0" w:rightChars="0"/>
              <w:jc w:val="both"/>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4、可接入发电机，带市电充电功能；</w:t>
            </w:r>
          </w:p>
          <w:p>
            <w:pPr>
              <w:keepNext w:val="0"/>
              <w:keepLines w:val="0"/>
              <w:pageBreakBefore w:val="0"/>
              <w:kinsoku/>
              <w:wordWrap/>
              <w:overflowPunct/>
              <w:topLinePunct w:val="0"/>
              <w:autoSpaceDE/>
              <w:autoSpaceDN/>
              <w:bidi w:val="0"/>
              <w:adjustRightInd/>
              <w:snapToGrid/>
              <w:spacing w:before="1" w:beforeLines="0" w:afterLines="0" w:line="440" w:lineRule="exact"/>
              <w:ind w:left="0" w:leftChars="0" w:right="0" w:rightChars="0"/>
              <w:jc w:val="both"/>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5、极低的THD值、满负荷线性负载条件下为3%(常规)/10%(电池低电压)；</w:t>
            </w:r>
          </w:p>
          <w:p>
            <w:pPr>
              <w:keepNext w:val="0"/>
              <w:keepLines w:val="0"/>
              <w:pageBreakBefore w:val="0"/>
              <w:kinsoku/>
              <w:wordWrap/>
              <w:overflowPunct/>
              <w:topLinePunct w:val="0"/>
              <w:autoSpaceDE/>
              <w:autoSpaceDN/>
              <w:bidi w:val="0"/>
              <w:adjustRightInd/>
              <w:snapToGrid/>
              <w:spacing w:before="1" w:beforeLines="0" w:afterLines="0" w:line="440" w:lineRule="exact"/>
              <w:ind w:left="0" w:leftChars="0" w:right="0" w:rightChars="0"/>
              <w:jc w:val="both"/>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6、电池温度侦测优化充电控制，可延长电池寿命；</w:t>
            </w:r>
          </w:p>
          <w:p>
            <w:pPr>
              <w:keepNext w:val="0"/>
              <w:keepLines w:val="0"/>
              <w:pageBreakBefore w:val="0"/>
              <w:kinsoku/>
              <w:wordWrap/>
              <w:overflowPunct/>
              <w:topLinePunct w:val="0"/>
              <w:autoSpaceDE/>
              <w:autoSpaceDN/>
              <w:bidi w:val="0"/>
              <w:adjustRightInd/>
              <w:snapToGrid/>
              <w:spacing w:before="1" w:beforeLines="0" w:afterLines="0" w:line="440" w:lineRule="exact"/>
              <w:ind w:left="0" w:leftChars="0" w:right="0" w:rightChars="0"/>
              <w:jc w:val="both"/>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7、有电池优先模式、最大化使用电池能量；</w:t>
            </w:r>
          </w:p>
          <w:p>
            <w:pPr>
              <w:keepNext w:val="0"/>
              <w:keepLines w:val="0"/>
              <w:pageBreakBefore w:val="0"/>
              <w:kinsoku/>
              <w:wordWrap/>
              <w:overflowPunct/>
              <w:topLinePunct w:val="0"/>
              <w:autoSpaceDE/>
              <w:autoSpaceDN/>
              <w:bidi w:val="0"/>
              <w:adjustRightInd/>
              <w:snapToGrid/>
              <w:spacing w:before="1" w:beforeLines="0" w:afterLines="0" w:line="440" w:lineRule="exact"/>
              <w:ind w:left="0" w:leftChars="0" w:right="0" w:rightChars="0"/>
              <w:jc w:val="both"/>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8、适用一切线性及非线性负载；</w:t>
            </w:r>
          </w:p>
          <w:p>
            <w:pPr>
              <w:keepNext w:val="0"/>
              <w:keepLines w:val="0"/>
              <w:pageBreakBefore w:val="0"/>
              <w:kinsoku/>
              <w:wordWrap/>
              <w:overflowPunct/>
              <w:topLinePunct w:val="0"/>
              <w:autoSpaceDE/>
              <w:autoSpaceDN/>
              <w:bidi w:val="0"/>
              <w:adjustRightInd/>
              <w:snapToGrid/>
              <w:spacing w:before="1" w:beforeLines="0" w:afterLines="0" w:line="440" w:lineRule="exact"/>
              <w:ind w:left="0" w:leftChars="0" w:right="0" w:rightChars="0"/>
              <w:jc w:val="both"/>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9、带RS232通讯接口；</w:t>
            </w:r>
          </w:p>
          <w:p>
            <w:pPr>
              <w:keepNext w:val="0"/>
              <w:keepLines w:val="0"/>
              <w:pageBreakBefore w:val="0"/>
              <w:kinsoku/>
              <w:wordWrap/>
              <w:overflowPunct/>
              <w:topLinePunct w:val="0"/>
              <w:autoSpaceDE/>
              <w:autoSpaceDN/>
              <w:bidi w:val="0"/>
              <w:adjustRightInd/>
              <w:snapToGrid/>
              <w:spacing w:before="1" w:beforeLines="0" w:afterLines="0" w:line="440" w:lineRule="exact"/>
              <w:ind w:left="0" w:leftChars="0" w:right="0" w:rightChars="0"/>
              <w:jc w:val="both"/>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10、LCD显示电池容量，负载容量；</w:t>
            </w:r>
          </w:p>
          <w:p>
            <w:pPr>
              <w:keepNext w:val="0"/>
              <w:keepLines w:val="0"/>
              <w:pageBreakBefore w:val="0"/>
              <w:kinsoku/>
              <w:wordWrap/>
              <w:overflowPunct/>
              <w:topLinePunct w:val="0"/>
              <w:autoSpaceDE/>
              <w:autoSpaceDN/>
              <w:bidi w:val="0"/>
              <w:adjustRightInd/>
              <w:snapToGrid/>
              <w:spacing w:before="1" w:beforeLines="0" w:afterLines="0" w:line="440" w:lineRule="exact"/>
              <w:ind w:left="0" w:leftChars="0" w:right="0" w:rightChars="0"/>
              <w:jc w:val="both"/>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sz w:val="21"/>
                <w:szCs w:val="21"/>
              </w:rPr>
              <w:t>11、具有过载保护，输出短路保护，过温保护，电池过压保护等功能</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0" w:type="dxa"/>
            <w:bottom w:w="0" w:type="dxa"/>
            <w:right w:w="0" w:type="dxa"/>
          </w:tblCellMar>
        </w:tblPrEx>
        <w:trPr>
          <w:gridBefore w:val="1"/>
          <w:wBefore w:w="5" w:type="dxa"/>
          <w:trHeight w:val="880" w:hRule="atLeast"/>
          <w:jc w:val="center"/>
        </w:trPr>
        <w:tc>
          <w:tcPr>
            <w:tcW w:w="2156" w:type="dxa"/>
            <w:gridSpan w:val="2"/>
            <w:tcBorders>
              <w:tl2br w:val="nil"/>
              <w:tr2bl w:val="nil"/>
            </w:tcBorders>
            <w:vAlign w:val="center"/>
          </w:tcPr>
          <w:p>
            <w:pPr>
              <w:keepNext w:val="0"/>
              <w:keepLines w:val="0"/>
              <w:pageBreakBefore w:val="0"/>
              <w:kinsoku/>
              <w:wordWrap/>
              <w:overflowPunct/>
              <w:topLinePunct w:val="0"/>
              <w:autoSpaceDE/>
              <w:autoSpaceDN/>
              <w:bidi w:val="0"/>
              <w:adjustRightInd/>
              <w:spacing w:before="1" w:beforeLines="0" w:afterLines="0" w:line="440" w:lineRule="exact"/>
              <w:ind w:left="0" w:leftChars="0" w:right="0" w:rightChars="0"/>
              <w:jc w:val="both"/>
              <w:textAlignment w:val="auto"/>
              <w:rPr>
                <w:rFonts w:hint="eastAsia" w:ascii="微软雅黑" w:hAnsi="微软雅黑" w:eastAsia="微软雅黑" w:cs="微软雅黑"/>
                <w:b w:val="0"/>
                <w:bCs w:val="0"/>
                <w:color w:val="000000"/>
                <w:kern w:val="2"/>
                <w:sz w:val="21"/>
                <w:szCs w:val="21"/>
                <w:lang w:val="en-US" w:eastAsia="zh-CN" w:bidi="ar-SA"/>
              </w:rPr>
            </w:pPr>
            <w:r>
              <w:rPr>
                <w:rFonts w:hint="eastAsia" w:ascii="微软雅黑" w:hAnsi="微软雅黑" w:eastAsia="微软雅黑" w:cs="微软雅黑"/>
                <w:b w:val="0"/>
                <w:bCs w:val="0"/>
                <w:color w:val="000000"/>
                <w:kern w:val="2"/>
                <w:sz w:val="21"/>
                <w:szCs w:val="21"/>
                <w:lang w:val="en-US" w:eastAsia="zh-CN" w:bidi="ar-SA"/>
              </w:rPr>
              <w:t>辅助电瓶</w:t>
            </w:r>
          </w:p>
        </w:tc>
        <w:tc>
          <w:tcPr>
            <w:tcW w:w="7668"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before="1" w:beforeLines="0" w:afterLines="0" w:line="440" w:lineRule="exact"/>
              <w:ind w:left="0" w:leftChars="0" w:right="0" w:rightChars="0"/>
              <w:jc w:val="both"/>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sz w:val="21"/>
                <w:szCs w:val="21"/>
              </w:rPr>
              <w:t>为汽车专用电瓶，容量不小于6</w:t>
            </w:r>
            <w:r>
              <w:rPr>
                <w:rFonts w:hint="eastAsia" w:cs="微软雅黑"/>
                <w:color w:val="000000"/>
                <w:sz w:val="21"/>
                <w:szCs w:val="21"/>
                <w:lang w:val="en-US" w:eastAsia="zh-CN"/>
              </w:rPr>
              <w:t>0</w:t>
            </w:r>
            <w:r>
              <w:rPr>
                <w:rFonts w:hint="eastAsia" w:ascii="微软雅黑" w:hAnsi="微软雅黑" w:eastAsia="微软雅黑" w:cs="微软雅黑"/>
                <w:color w:val="000000"/>
                <w:sz w:val="21"/>
                <w:szCs w:val="21"/>
              </w:rPr>
              <w:t>AH，在驻车时可供医疗器械使用。电瓶应该安装在方便检修的位置。蓄电池安装及其所有连接应防止任何情况下发生短路的可能。在车辆熄火后，附加电瓶和启动电瓶自动断开。车辆启动时自动连接，以保证救护车的正常启动和附加电设备的用电需要。</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0" w:type="dxa"/>
            <w:bottom w:w="0" w:type="dxa"/>
            <w:right w:w="0" w:type="dxa"/>
          </w:tblCellMar>
        </w:tblPrEx>
        <w:trPr>
          <w:gridBefore w:val="1"/>
          <w:wBefore w:w="5" w:type="dxa"/>
          <w:trHeight w:val="880" w:hRule="atLeast"/>
          <w:jc w:val="center"/>
        </w:trPr>
        <w:tc>
          <w:tcPr>
            <w:tcW w:w="2156"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jc w:val="both"/>
              <w:textAlignment w:val="auto"/>
              <w:rPr>
                <w:rFonts w:hint="eastAsia" w:ascii="微软雅黑" w:hAnsi="微软雅黑" w:eastAsia="微软雅黑" w:cs="微软雅黑"/>
                <w:b w:val="0"/>
                <w:bCs w:val="0"/>
                <w:color w:val="000000"/>
                <w:sz w:val="21"/>
                <w:szCs w:val="21"/>
                <w:lang w:val="zh-CN" w:eastAsia="zh-CN" w:bidi="zh-CN"/>
              </w:rPr>
            </w:pPr>
            <w:r>
              <w:rPr>
                <w:rFonts w:hint="eastAsia" w:ascii="微软雅黑" w:hAnsi="微软雅黑" w:eastAsia="微软雅黑" w:cs="微软雅黑"/>
                <w:b w:val="0"/>
                <w:bCs w:val="0"/>
                <w:color w:val="000000"/>
                <w:sz w:val="21"/>
                <w:szCs w:val="21"/>
                <w:lang w:eastAsia="zh-CN"/>
              </w:rPr>
              <w:t>低压电线束</w:t>
            </w:r>
          </w:p>
        </w:tc>
        <w:tc>
          <w:tcPr>
            <w:tcW w:w="7668"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jc w:val="both"/>
              <w:textAlignment w:val="auto"/>
              <w:rPr>
                <w:rFonts w:hint="eastAsia" w:ascii="微软雅黑" w:hAnsi="微软雅黑" w:eastAsia="微软雅黑" w:cs="微软雅黑"/>
                <w:color w:val="000000"/>
                <w:sz w:val="21"/>
                <w:szCs w:val="21"/>
                <w:lang w:val="en-US" w:eastAsia="zh-CN" w:bidi="zh-CN"/>
              </w:rPr>
            </w:pPr>
            <w:r>
              <w:rPr>
                <w:rFonts w:hint="eastAsia" w:ascii="微软雅黑" w:hAnsi="微软雅黑" w:eastAsia="微软雅黑" w:cs="微软雅黑"/>
                <w:color w:val="000000"/>
                <w:sz w:val="21"/>
                <w:szCs w:val="21"/>
                <w:lang w:eastAsia="zh-CN"/>
              </w:rPr>
              <w:t>符合国家汽车行业标准</w:t>
            </w:r>
            <w:r>
              <w:rPr>
                <w:rFonts w:hint="eastAsia" w:ascii="微软雅黑" w:hAnsi="微软雅黑" w:eastAsia="微软雅黑" w:cs="微软雅黑"/>
                <w:color w:val="000000"/>
                <w:sz w:val="21"/>
                <w:szCs w:val="21"/>
                <w:lang w:val="en-US" w:eastAsia="zh-CN"/>
              </w:rPr>
              <w:t>QC/T 29106-2004；可达到整车线束标准，所有连接均使用专用汽车连接件，无家用塑料包。</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0" w:type="dxa"/>
            <w:bottom w:w="0" w:type="dxa"/>
            <w:right w:w="0" w:type="dxa"/>
          </w:tblCellMar>
        </w:tblPrEx>
        <w:trPr>
          <w:gridBefore w:val="1"/>
          <w:wBefore w:w="5" w:type="dxa"/>
          <w:trHeight w:val="880" w:hRule="atLeast"/>
          <w:jc w:val="center"/>
        </w:trPr>
        <w:tc>
          <w:tcPr>
            <w:tcW w:w="2156" w:type="dxa"/>
            <w:gridSpan w:val="2"/>
            <w:tcBorders>
              <w:tl2br w:val="nil"/>
              <w:tr2bl w:val="nil"/>
            </w:tcBorders>
            <w:vAlign w:val="center"/>
          </w:tcPr>
          <w:p>
            <w:pPr>
              <w:keepNext w:val="0"/>
              <w:keepLines w:val="0"/>
              <w:pageBreakBefore w:val="0"/>
              <w:kinsoku/>
              <w:wordWrap/>
              <w:overflowPunct/>
              <w:topLinePunct w:val="0"/>
              <w:autoSpaceDE/>
              <w:autoSpaceDN/>
              <w:bidi w:val="0"/>
              <w:adjustRightInd/>
              <w:spacing w:before="1" w:beforeLines="0" w:afterLines="0" w:line="440" w:lineRule="exact"/>
              <w:ind w:left="0" w:leftChars="0" w:right="0" w:rightChars="0"/>
              <w:jc w:val="left"/>
              <w:textAlignment w:val="auto"/>
              <w:rPr>
                <w:rFonts w:hint="eastAsia" w:ascii="微软雅黑" w:hAnsi="微软雅黑" w:eastAsia="微软雅黑" w:cs="微软雅黑"/>
                <w:b w:val="0"/>
                <w:bCs w:val="0"/>
                <w:color w:val="000000"/>
                <w:kern w:val="0"/>
                <w:sz w:val="21"/>
                <w:szCs w:val="21"/>
                <w:lang w:val="en-US" w:eastAsia="zh-CN" w:bidi="ar-SA"/>
              </w:rPr>
            </w:pPr>
            <w:r>
              <w:rPr>
                <w:rFonts w:hint="eastAsia" w:ascii="微软雅黑" w:hAnsi="微软雅黑" w:eastAsia="微软雅黑" w:cs="微软雅黑"/>
                <w:b w:val="0"/>
                <w:bCs w:val="0"/>
                <w:color w:val="000000"/>
                <w:sz w:val="21"/>
                <w:szCs w:val="21"/>
              </w:rPr>
              <w:t>供电要求</w:t>
            </w:r>
          </w:p>
        </w:tc>
        <w:tc>
          <w:tcPr>
            <w:tcW w:w="7668"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before="1" w:beforeLines="0" w:afterLines="0" w:line="440" w:lineRule="exact"/>
              <w:ind w:left="0" w:leftChars="0" w:right="0" w:rightChars="0"/>
              <w:jc w:val="left"/>
              <w:textAlignment w:val="auto"/>
              <w:rPr>
                <w:rFonts w:hint="eastAsia" w:ascii="微软雅黑" w:hAnsi="微软雅黑" w:eastAsia="微软雅黑" w:cs="微软雅黑"/>
                <w:color w:val="000000"/>
                <w:kern w:val="0"/>
                <w:sz w:val="21"/>
                <w:szCs w:val="21"/>
                <w:lang w:val="en-US" w:eastAsia="zh-CN" w:bidi="ar-SA"/>
              </w:rPr>
            </w:pPr>
            <w:r>
              <w:rPr>
                <w:rFonts w:hint="eastAsia" w:ascii="微软雅黑" w:hAnsi="微软雅黑" w:eastAsia="微软雅黑" w:cs="微软雅黑"/>
                <w:color w:val="000000"/>
                <w:sz w:val="21"/>
                <w:szCs w:val="21"/>
              </w:rPr>
              <w:t>在车辆启动状态下，可实现24小时不间断供电，可输出220V，不小于</w:t>
            </w:r>
            <w:r>
              <w:rPr>
                <w:rFonts w:hint="eastAsia" w:ascii="微软雅黑" w:hAnsi="微软雅黑" w:eastAsia="微软雅黑" w:cs="微软雅黑"/>
                <w:color w:val="000000"/>
                <w:sz w:val="21"/>
                <w:szCs w:val="21"/>
                <w:lang w:val="en-US" w:eastAsia="zh-CN"/>
              </w:rPr>
              <w:t>1000</w:t>
            </w:r>
            <w:r>
              <w:rPr>
                <w:rFonts w:hint="eastAsia" w:ascii="微软雅黑" w:hAnsi="微软雅黑" w:eastAsia="微软雅黑" w:cs="微软雅黑"/>
                <w:color w:val="000000"/>
                <w:sz w:val="21"/>
                <w:szCs w:val="21"/>
              </w:rPr>
              <w:t>W纯正弦波电源可供医疗设备使用，并在相应的位置安置12V电源插座两只、220V电源插座</w:t>
            </w:r>
            <w:r>
              <w:rPr>
                <w:rFonts w:hint="eastAsia" w:ascii="微软雅黑" w:hAnsi="微软雅黑" w:eastAsia="微软雅黑" w:cs="微软雅黑"/>
                <w:color w:val="000000"/>
                <w:sz w:val="21"/>
                <w:szCs w:val="21"/>
                <w:lang w:val="en-US" w:eastAsia="zh-CN"/>
              </w:rPr>
              <w:t>2</w:t>
            </w:r>
            <w:r>
              <w:rPr>
                <w:rFonts w:hint="eastAsia" w:ascii="微软雅黑" w:hAnsi="微软雅黑" w:eastAsia="微软雅黑" w:cs="微软雅黑"/>
                <w:color w:val="000000"/>
                <w:sz w:val="21"/>
                <w:szCs w:val="21"/>
              </w:rPr>
              <w:t>只。在总开关关闭后所有用电器应与主、副电瓶断开，防止漏电，以保证蓄电池保存充足电力。</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0" w:type="dxa"/>
            <w:bottom w:w="0" w:type="dxa"/>
            <w:right w:w="0" w:type="dxa"/>
          </w:tblCellMar>
        </w:tblPrEx>
        <w:trPr>
          <w:gridBefore w:val="1"/>
          <w:wBefore w:w="5" w:type="dxa"/>
          <w:trHeight w:val="880" w:hRule="atLeast"/>
          <w:jc w:val="center"/>
        </w:trPr>
        <w:tc>
          <w:tcPr>
            <w:tcW w:w="2156"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jc w:val="left"/>
              <w:textAlignment w:val="auto"/>
              <w:rPr>
                <w:rFonts w:hint="eastAsia" w:ascii="微软雅黑" w:hAnsi="微软雅黑" w:eastAsia="微软雅黑" w:cs="微软雅黑"/>
                <w:b w:val="0"/>
                <w:bCs w:val="0"/>
                <w:color w:val="000000"/>
                <w:sz w:val="21"/>
                <w:szCs w:val="21"/>
                <w:lang w:val="zh-CN" w:eastAsia="zh-CN" w:bidi="zh-CN"/>
              </w:rPr>
            </w:pPr>
            <w:r>
              <w:rPr>
                <w:rFonts w:hint="eastAsia" w:ascii="微软雅黑" w:hAnsi="微软雅黑" w:eastAsia="微软雅黑" w:cs="微软雅黑"/>
                <w:color w:val="000000"/>
                <w:sz w:val="21"/>
                <w:szCs w:val="21"/>
                <w:lang w:eastAsia="zh-CN"/>
              </w:rPr>
              <w:t>外接电源</w:t>
            </w:r>
          </w:p>
        </w:tc>
        <w:tc>
          <w:tcPr>
            <w:tcW w:w="7668"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jc w:val="left"/>
              <w:textAlignment w:val="auto"/>
              <w:rPr>
                <w:rFonts w:hint="eastAsia" w:ascii="微软雅黑" w:hAnsi="微软雅黑" w:eastAsia="微软雅黑" w:cs="微软雅黑"/>
                <w:color w:val="000000"/>
                <w:sz w:val="21"/>
                <w:szCs w:val="21"/>
                <w:lang w:val="zh-CN" w:eastAsia="zh-CN" w:bidi="zh-CN"/>
              </w:rPr>
            </w:pPr>
            <w:r>
              <w:rPr>
                <w:rFonts w:hint="eastAsia" w:ascii="微软雅黑" w:hAnsi="微软雅黑" w:eastAsia="微软雅黑" w:cs="微软雅黑"/>
                <w:color w:val="000000"/>
                <w:sz w:val="21"/>
                <w:szCs w:val="21"/>
                <w:lang w:eastAsia="zh-CN"/>
              </w:rPr>
              <w:t>配备内置大功率充电设备，可提供对蓄电池的充电，同时也可提供电力供车载医疗设备充电，需配备防水外接充电接口，外接充电线缆长度≥10M。</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0" w:type="dxa"/>
            <w:bottom w:w="0" w:type="dxa"/>
            <w:right w:w="0" w:type="dxa"/>
          </w:tblCellMar>
        </w:tblPrEx>
        <w:trPr>
          <w:gridBefore w:val="1"/>
          <w:wBefore w:w="5" w:type="dxa"/>
          <w:trHeight w:val="880" w:hRule="atLeast"/>
          <w:jc w:val="center"/>
        </w:trPr>
        <w:tc>
          <w:tcPr>
            <w:tcW w:w="9824" w:type="dxa"/>
            <w:gridSpan w:val="4"/>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jc w:val="both"/>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b/>
                <w:bCs/>
                <w:color w:val="000000"/>
                <w:sz w:val="21"/>
                <w:szCs w:val="21"/>
              </w:rPr>
              <w:t>供氧系统</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0" w:type="dxa"/>
            <w:bottom w:w="0" w:type="dxa"/>
            <w:right w:w="0" w:type="dxa"/>
          </w:tblCellMar>
        </w:tblPrEx>
        <w:trPr>
          <w:gridBefore w:val="1"/>
          <w:wBefore w:w="5" w:type="dxa"/>
          <w:trHeight w:val="880" w:hRule="atLeast"/>
          <w:jc w:val="center"/>
        </w:trPr>
        <w:tc>
          <w:tcPr>
            <w:tcW w:w="2156" w:type="dxa"/>
            <w:gridSpan w:val="2"/>
            <w:tcBorders>
              <w:tl2br w:val="nil"/>
              <w:tr2bl w:val="nil"/>
            </w:tcBorders>
            <w:vAlign w:val="center"/>
          </w:tcPr>
          <w:p>
            <w:pPr>
              <w:keepNext w:val="0"/>
              <w:keepLines w:val="0"/>
              <w:pageBreakBefore w:val="0"/>
              <w:kinsoku/>
              <w:wordWrap/>
              <w:overflowPunct/>
              <w:topLinePunct w:val="0"/>
              <w:autoSpaceDE/>
              <w:autoSpaceDN/>
              <w:bidi w:val="0"/>
              <w:adjustRightInd/>
              <w:spacing w:before="1" w:beforeLines="0" w:afterLines="0" w:line="440" w:lineRule="exact"/>
              <w:ind w:left="0" w:leftChars="0" w:right="0" w:rightChars="0"/>
              <w:jc w:val="both"/>
              <w:textAlignment w:val="auto"/>
              <w:rPr>
                <w:rFonts w:hint="eastAsia" w:ascii="微软雅黑" w:hAnsi="微软雅黑" w:eastAsia="微软雅黑" w:cs="微软雅黑"/>
                <w:b w:val="0"/>
                <w:bCs w:val="0"/>
                <w:color w:val="000000"/>
                <w:kern w:val="2"/>
                <w:sz w:val="21"/>
                <w:szCs w:val="21"/>
                <w:lang w:val="en-US" w:eastAsia="zh-CN" w:bidi="ar-SA"/>
              </w:rPr>
            </w:pPr>
            <w:r>
              <w:rPr>
                <w:rFonts w:hint="eastAsia" w:ascii="微软雅黑" w:hAnsi="微软雅黑" w:eastAsia="微软雅黑" w:cs="微软雅黑"/>
                <w:b w:val="0"/>
                <w:bCs w:val="0"/>
                <w:color w:val="000000"/>
                <w:sz w:val="21"/>
                <w:szCs w:val="21"/>
              </w:rPr>
              <w:t>氧气瓶</w:t>
            </w:r>
          </w:p>
        </w:tc>
        <w:tc>
          <w:tcPr>
            <w:tcW w:w="7668"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before="1" w:beforeLines="0" w:afterLines="0" w:line="440" w:lineRule="exact"/>
              <w:ind w:left="0" w:leftChars="0" w:right="0" w:rightChars="0"/>
              <w:jc w:val="both"/>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sz w:val="21"/>
                <w:szCs w:val="21"/>
              </w:rPr>
              <w:t>救护车可放置 2 瓶 10 升氧气瓶，带高压减压阀及不锈钢固定装置。</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0" w:type="dxa"/>
            <w:bottom w:w="0" w:type="dxa"/>
            <w:right w:w="0" w:type="dxa"/>
          </w:tblCellMar>
        </w:tblPrEx>
        <w:trPr>
          <w:gridBefore w:val="1"/>
          <w:wBefore w:w="5" w:type="dxa"/>
          <w:trHeight w:val="880" w:hRule="atLeast"/>
          <w:jc w:val="center"/>
        </w:trPr>
        <w:tc>
          <w:tcPr>
            <w:tcW w:w="2156" w:type="dxa"/>
            <w:gridSpan w:val="2"/>
            <w:tcBorders>
              <w:tl2br w:val="nil"/>
              <w:tr2bl w:val="nil"/>
            </w:tcBorders>
            <w:vAlign w:val="center"/>
          </w:tcPr>
          <w:p>
            <w:pPr>
              <w:keepNext w:val="0"/>
              <w:keepLines w:val="0"/>
              <w:pageBreakBefore w:val="0"/>
              <w:kinsoku/>
              <w:wordWrap/>
              <w:overflowPunct/>
              <w:topLinePunct w:val="0"/>
              <w:autoSpaceDE/>
              <w:autoSpaceDN/>
              <w:bidi w:val="0"/>
              <w:adjustRightInd/>
              <w:spacing w:before="1" w:beforeLines="0" w:afterLines="0" w:line="440" w:lineRule="exact"/>
              <w:ind w:left="0" w:leftChars="0" w:right="0" w:rightChars="0"/>
              <w:jc w:val="both"/>
              <w:textAlignment w:val="auto"/>
              <w:rPr>
                <w:rFonts w:hint="eastAsia" w:ascii="微软雅黑" w:hAnsi="微软雅黑" w:eastAsia="微软雅黑" w:cs="微软雅黑"/>
                <w:b w:val="0"/>
                <w:bCs w:val="0"/>
                <w:color w:val="000000"/>
                <w:kern w:val="2"/>
                <w:sz w:val="21"/>
                <w:szCs w:val="21"/>
                <w:lang w:val="en-US" w:eastAsia="zh-CN" w:bidi="ar-SA"/>
              </w:rPr>
            </w:pPr>
            <w:r>
              <w:rPr>
                <w:rFonts w:hint="eastAsia" w:ascii="微软雅黑" w:hAnsi="微软雅黑" w:eastAsia="微软雅黑" w:cs="微软雅黑"/>
                <w:b w:val="0"/>
                <w:bCs w:val="0"/>
                <w:color w:val="000000"/>
                <w:sz w:val="21"/>
                <w:szCs w:val="21"/>
              </w:rPr>
              <w:t>氧气管道</w:t>
            </w:r>
          </w:p>
        </w:tc>
        <w:tc>
          <w:tcPr>
            <w:tcW w:w="7668"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before="1" w:beforeLines="0" w:afterLines="0" w:line="440" w:lineRule="exact"/>
              <w:ind w:left="0" w:leftChars="0" w:right="0" w:rightChars="0"/>
              <w:jc w:val="both"/>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sz w:val="21"/>
                <w:szCs w:val="21"/>
              </w:rPr>
              <w:t>隐藏式管道，需安装、检测便捷， 预留呼吸机用接口。</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0" w:type="dxa"/>
            <w:bottom w:w="0" w:type="dxa"/>
            <w:right w:w="0" w:type="dxa"/>
          </w:tblCellMar>
        </w:tblPrEx>
        <w:trPr>
          <w:gridBefore w:val="1"/>
          <w:wBefore w:w="5" w:type="dxa"/>
          <w:trHeight w:val="880" w:hRule="atLeast"/>
          <w:jc w:val="center"/>
        </w:trPr>
        <w:tc>
          <w:tcPr>
            <w:tcW w:w="2156" w:type="dxa"/>
            <w:gridSpan w:val="2"/>
            <w:tcBorders>
              <w:tl2br w:val="nil"/>
              <w:tr2bl w:val="nil"/>
            </w:tcBorders>
            <w:vAlign w:val="center"/>
          </w:tcPr>
          <w:p>
            <w:pPr>
              <w:keepNext w:val="0"/>
              <w:keepLines w:val="0"/>
              <w:pageBreakBefore w:val="0"/>
              <w:kinsoku/>
              <w:wordWrap/>
              <w:overflowPunct/>
              <w:topLinePunct w:val="0"/>
              <w:autoSpaceDE/>
              <w:autoSpaceDN/>
              <w:bidi w:val="0"/>
              <w:adjustRightInd/>
              <w:spacing w:before="49" w:beforeLines="0" w:afterLines="0" w:line="440" w:lineRule="exact"/>
              <w:ind w:left="0" w:leftChars="0" w:right="0" w:rightChars="0"/>
              <w:jc w:val="both"/>
              <w:textAlignment w:val="auto"/>
              <w:rPr>
                <w:rFonts w:hint="eastAsia" w:ascii="微软雅黑" w:hAnsi="微软雅黑" w:eastAsia="微软雅黑" w:cs="微软雅黑"/>
                <w:b w:val="0"/>
                <w:bCs w:val="0"/>
                <w:color w:val="000000"/>
                <w:kern w:val="2"/>
                <w:sz w:val="21"/>
                <w:szCs w:val="21"/>
                <w:lang w:val="en-US" w:eastAsia="zh-CN" w:bidi="ar-SA"/>
              </w:rPr>
            </w:pPr>
            <w:r>
              <w:rPr>
                <w:rFonts w:hint="eastAsia" w:ascii="微软雅黑" w:hAnsi="微软雅黑" w:eastAsia="微软雅黑" w:cs="微软雅黑"/>
                <w:b w:val="0"/>
                <w:bCs w:val="0"/>
                <w:color w:val="000000"/>
                <w:sz w:val="21"/>
                <w:szCs w:val="21"/>
              </w:rPr>
              <w:t>湿化瓶</w:t>
            </w:r>
          </w:p>
        </w:tc>
        <w:tc>
          <w:tcPr>
            <w:tcW w:w="7668"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before="49" w:beforeLines="0" w:afterLines="0" w:line="440" w:lineRule="exact"/>
              <w:ind w:left="0" w:leftChars="0" w:right="0" w:rightChars="0"/>
              <w:jc w:val="both"/>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sz w:val="21"/>
                <w:szCs w:val="21"/>
              </w:rPr>
              <w:t>即插即用湿化瓶。</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0" w:type="dxa"/>
            <w:bottom w:w="0" w:type="dxa"/>
            <w:right w:w="0" w:type="dxa"/>
          </w:tblCellMar>
        </w:tblPrEx>
        <w:trPr>
          <w:gridBefore w:val="1"/>
          <w:wBefore w:w="5" w:type="dxa"/>
          <w:trHeight w:val="880" w:hRule="atLeast"/>
          <w:jc w:val="center"/>
        </w:trPr>
        <w:tc>
          <w:tcPr>
            <w:tcW w:w="9824" w:type="dxa"/>
            <w:gridSpan w:val="4"/>
            <w:tcBorders>
              <w:tl2br w:val="nil"/>
              <w:tr2bl w:val="nil"/>
            </w:tcBorders>
            <w:vAlign w:val="center"/>
          </w:tcPr>
          <w:p>
            <w:pPr>
              <w:pStyle w:val="8"/>
              <w:spacing w:before="178"/>
              <w:ind w:left="24" w:leftChars="0" w:right="0" w:rightChars="0"/>
              <w:jc w:val="both"/>
              <w:rPr>
                <w:rFonts w:hint="eastAsia" w:ascii="微软雅黑" w:hAnsi="微软雅黑" w:eastAsia="微软雅黑" w:cs="微软雅黑"/>
                <w:b/>
                <w:sz w:val="21"/>
                <w:szCs w:val="21"/>
                <w:lang w:val="en-US" w:eastAsia="zh-CN" w:bidi="zh-CN"/>
              </w:rPr>
            </w:pPr>
            <w:r>
              <w:rPr>
                <w:rFonts w:hint="eastAsia" w:ascii="微软雅黑" w:hAnsi="微软雅黑" w:eastAsia="微软雅黑" w:cs="微软雅黑"/>
                <w:b/>
                <w:sz w:val="21"/>
                <w:szCs w:val="21"/>
              </w:rPr>
              <w:t>空气循环系统</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0" w:type="dxa"/>
            <w:bottom w:w="0" w:type="dxa"/>
            <w:right w:w="0" w:type="dxa"/>
          </w:tblCellMar>
        </w:tblPrEx>
        <w:trPr>
          <w:gridBefore w:val="1"/>
          <w:wBefore w:w="5" w:type="dxa"/>
          <w:trHeight w:val="880" w:hRule="atLeast"/>
          <w:jc w:val="center"/>
        </w:trPr>
        <w:tc>
          <w:tcPr>
            <w:tcW w:w="2156" w:type="dxa"/>
            <w:gridSpan w:val="2"/>
            <w:tcBorders>
              <w:tl2br w:val="nil"/>
              <w:tr2bl w:val="nil"/>
            </w:tcBorders>
            <w:vAlign w:val="center"/>
          </w:tcPr>
          <w:p>
            <w:pPr>
              <w:pStyle w:val="8"/>
              <w:spacing w:before="1"/>
              <w:ind w:left="24" w:leftChars="0" w:right="0" w:rightChars="0"/>
              <w:jc w:val="both"/>
              <w:rPr>
                <w:rFonts w:hint="eastAsia" w:ascii="微软雅黑" w:hAnsi="微软雅黑" w:eastAsia="微软雅黑" w:cs="微软雅黑"/>
                <w:sz w:val="21"/>
                <w:szCs w:val="21"/>
                <w:lang w:val="en-US" w:eastAsia="zh-CN" w:bidi="zh-CN"/>
              </w:rPr>
            </w:pPr>
            <w:r>
              <w:rPr>
                <w:rFonts w:hint="eastAsia" w:ascii="微软雅黑" w:hAnsi="微软雅黑" w:eastAsia="微软雅黑" w:cs="微软雅黑"/>
                <w:sz w:val="21"/>
                <w:szCs w:val="21"/>
              </w:rPr>
              <w:t>空调/暖风</w:t>
            </w:r>
          </w:p>
        </w:tc>
        <w:tc>
          <w:tcPr>
            <w:tcW w:w="7668" w:type="dxa"/>
            <w:gridSpan w:val="2"/>
            <w:tcBorders>
              <w:tl2br w:val="nil"/>
              <w:tr2bl w:val="nil"/>
            </w:tcBorders>
            <w:vAlign w:val="center"/>
          </w:tcPr>
          <w:p>
            <w:pPr>
              <w:pStyle w:val="8"/>
              <w:spacing w:before="34" w:line="440" w:lineRule="atLeast"/>
              <w:ind w:left="5" w:leftChars="0" w:right="14" w:rightChars="0"/>
              <w:jc w:val="both"/>
              <w:rPr>
                <w:rFonts w:hint="eastAsia" w:ascii="微软雅黑" w:hAnsi="微软雅黑" w:eastAsia="微软雅黑" w:cs="微软雅黑"/>
                <w:sz w:val="21"/>
                <w:szCs w:val="21"/>
                <w:lang w:val="en-US" w:eastAsia="zh-CN" w:bidi="zh-CN"/>
              </w:rPr>
            </w:pPr>
            <w:r>
              <w:rPr>
                <w:rFonts w:hint="eastAsia" w:ascii="微软雅黑" w:hAnsi="微软雅黑" w:eastAsia="微软雅黑" w:cs="微软雅黑"/>
                <w:sz w:val="21"/>
                <w:szCs w:val="21"/>
              </w:rPr>
              <w:t>1</w:t>
            </w:r>
            <w:r>
              <w:rPr>
                <w:rFonts w:hint="eastAsia" w:ascii="微软雅黑" w:hAnsi="微软雅黑" w:eastAsia="微软雅黑" w:cs="微软雅黑"/>
                <w:spacing w:val="-8"/>
                <w:sz w:val="21"/>
                <w:szCs w:val="21"/>
              </w:rPr>
              <w:t>套可以独立控制的后空调和后暖风，冷暖独立控制，根据需要合理调控医疗舱内温度。</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0" w:type="dxa"/>
            <w:bottom w:w="0" w:type="dxa"/>
            <w:right w:w="0" w:type="dxa"/>
          </w:tblCellMar>
        </w:tblPrEx>
        <w:trPr>
          <w:gridBefore w:val="1"/>
          <w:wBefore w:w="5" w:type="dxa"/>
          <w:trHeight w:val="880" w:hRule="atLeast"/>
          <w:jc w:val="center"/>
        </w:trPr>
        <w:tc>
          <w:tcPr>
            <w:tcW w:w="2156" w:type="dxa"/>
            <w:gridSpan w:val="2"/>
            <w:tcBorders>
              <w:tl2br w:val="nil"/>
              <w:tr2bl w:val="nil"/>
            </w:tcBorders>
            <w:vAlign w:val="center"/>
          </w:tcPr>
          <w:p>
            <w:pPr>
              <w:pStyle w:val="8"/>
              <w:spacing w:before="1"/>
              <w:ind w:right="0" w:rightChars="0"/>
              <w:jc w:val="both"/>
              <w:rPr>
                <w:rFonts w:hint="eastAsia" w:ascii="微软雅黑" w:hAnsi="微软雅黑" w:eastAsia="微软雅黑" w:cs="微软雅黑"/>
                <w:sz w:val="21"/>
                <w:szCs w:val="21"/>
                <w:lang w:val="zh-CN" w:eastAsia="zh-CN" w:bidi="zh-CN"/>
              </w:rPr>
            </w:pPr>
            <w:r>
              <w:rPr>
                <w:rFonts w:hint="eastAsia" w:ascii="微软雅黑" w:hAnsi="微软雅黑" w:eastAsia="微软雅黑" w:cs="微软雅黑"/>
                <w:sz w:val="21"/>
                <w:szCs w:val="21"/>
              </w:rPr>
              <w:t>换气扇</w:t>
            </w:r>
          </w:p>
        </w:tc>
        <w:tc>
          <w:tcPr>
            <w:tcW w:w="7668" w:type="dxa"/>
            <w:gridSpan w:val="2"/>
            <w:tcBorders>
              <w:tl2br w:val="nil"/>
              <w:tr2bl w:val="nil"/>
            </w:tcBorders>
            <w:vAlign w:val="center"/>
          </w:tcPr>
          <w:p>
            <w:pPr>
              <w:pStyle w:val="8"/>
              <w:spacing w:before="10" w:line="440" w:lineRule="atLeast"/>
              <w:ind w:left="5" w:leftChars="0" w:right="21" w:rightChars="0"/>
              <w:jc w:val="both"/>
              <w:rPr>
                <w:rFonts w:hint="eastAsia" w:ascii="微软雅黑" w:hAnsi="微软雅黑" w:eastAsia="微软雅黑" w:cs="微软雅黑"/>
                <w:sz w:val="21"/>
                <w:szCs w:val="21"/>
                <w:lang w:val="zh-CN" w:eastAsia="zh-CN" w:bidi="zh-CN"/>
              </w:rPr>
            </w:pPr>
            <w:r>
              <w:rPr>
                <w:rFonts w:hint="eastAsia" w:ascii="微软雅黑" w:hAnsi="微软雅黑" w:eastAsia="微软雅黑" w:cs="微软雅黑"/>
                <w:sz w:val="21"/>
                <w:szCs w:val="21"/>
              </w:rPr>
              <w:t>在车顶安装1套DC12V带吸气、排气的多功能换气扇，能有效保障医疗舱内空气高效循环。</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0" w:type="dxa"/>
            <w:bottom w:w="0" w:type="dxa"/>
            <w:right w:w="0" w:type="dxa"/>
          </w:tblCellMar>
        </w:tblPrEx>
        <w:trPr>
          <w:gridBefore w:val="1"/>
          <w:wBefore w:w="5" w:type="dxa"/>
          <w:trHeight w:val="880" w:hRule="atLeast"/>
          <w:jc w:val="center"/>
        </w:trPr>
        <w:tc>
          <w:tcPr>
            <w:tcW w:w="9824" w:type="dxa"/>
            <w:gridSpan w:val="4"/>
            <w:tcBorders>
              <w:tl2br w:val="nil"/>
              <w:tr2bl w:val="nil"/>
            </w:tcBorders>
            <w:vAlign w:val="center"/>
          </w:tcPr>
          <w:p>
            <w:pPr>
              <w:keepNext w:val="0"/>
              <w:keepLines w:val="0"/>
              <w:pageBreakBefore w:val="0"/>
              <w:kinsoku/>
              <w:wordWrap/>
              <w:overflowPunct/>
              <w:topLinePunct w:val="0"/>
              <w:autoSpaceDE/>
              <w:autoSpaceDN/>
              <w:bidi w:val="0"/>
              <w:adjustRightInd/>
              <w:snapToGrid/>
              <w:spacing w:before="147" w:beforeLines="0" w:afterLines="0" w:line="440" w:lineRule="exact"/>
              <w:ind w:left="0" w:leftChars="0" w:right="0" w:rightChars="0"/>
              <w:jc w:val="both"/>
              <w:textAlignment w:val="auto"/>
              <w:rPr>
                <w:rFonts w:hint="eastAsia" w:ascii="微软雅黑" w:hAnsi="微软雅黑" w:eastAsia="微软雅黑" w:cs="微软雅黑"/>
                <w:color w:val="000000"/>
                <w:kern w:val="2"/>
                <w:sz w:val="21"/>
                <w:szCs w:val="21"/>
                <w:lang w:val="zh-CN" w:eastAsia="zh-CN" w:bidi="ar-SA"/>
              </w:rPr>
            </w:pPr>
            <w:r>
              <w:rPr>
                <w:rFonts w:hint="eastAsia" w:ascii="微软雅黑" w:hAnsi="微软雅黑" w:eastAsia="微软雅黑" w:cs="微软雅黑"/>
                <w:b/>
                <w:bCs/>
                <w:color w:val="000000"/>
                <w:sz w:val="21"/>
                <w:szCs w:val="21"/>
              </w:rPr>
              <w:t>消毒系统</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0" w:type="dxa"/>
            <w:bottom w:w="0" w:type="dxa"/>
            <w:right w:w="0" w:type="dxa"/>
          </w:tblCellMar>
        </w:tblPrEx>
        <w:trPr>
          <w:gridBefore w:val="1"/>
          <w:wBefore w:w="5" w:type="dxa"/>
          <w:trHeight w:val="880" w:hRule="atLeast"/>
          <w:jc w:val="center"/>
        </w:trPr>
        <w:tc>
          <w:tcPr>
            <w:tcW w:w="2156" w:type="dxa"/>
            <w:gridSpan w:val="2"/>
            <w:tcBorders>
              <w:tl2br w:val="nil"/>
              <w:tr2bl w:val="nil"/>
            </w:tcBorders>
            <w:vAlign w:val="top"/>
          </w:tcPr>
          <w:p>
            <w:pPr>
              <w:keepNext w:val="0"/>
              <w:keepLines w:val="0"/>
              <w:pageBreakBefore w:val="0"/>
              <w:kinsoku/>
              <w:wordWrap/>
              <w:overflowPunct/>
              <w:topLinePunct w:val="0"/>
              <w:autoSpaceDE/>
              <w:autoSpaceDN/>
              <w:bidi w:val="0"/>
              <w:adjustRightInd/>
              <w:spacing w:before="157" w:beforeLines="0" w:afterLines="0" w:line="440" w:lineRule="exact"/>
              <w:ind w:left="0" w:leftChars="0" w:right="0" w:rightChars="0"/>
              <w:jc w:val="both"/>
              <w:textAlignment w:val="auto"/>
              <w:rPr>
                <w:rFonts w:hint="eastAsia" w:ascii="微软雅黑" w:hAnsi="微软雅黑" w:eastAsia="微软雅黑" w:cs="微软雅黑"/>
                <w:b/>
                <w:bCs/>
                <w:color w:val="000000"/>
                <w:kern w:val="2"/>
                <w:sz w:val="21"/>
                <w:szCs w:val="21"/>
                <w:lang w:val="en-US" w:eastAsia="zh-CN" w:bidi="ar-SA"/>
              </w:rPr>
            </w:pPr>
            <w:r>
              <w:rPr>
                <w:rFonts w:hint="eastAsia" w:ascii="微软雅黑" w:hAnsi="微软雅黑" w:eastAsia="微软雅黑" w:cs="微软雅黑"/>
                <w:sz w:val="21"/>
                <w:szCs w:val="21"/>
              </w:rPr>
              <w:t>紫外线消毒灯</w:t>
            </w:r>
          </w:p>
        </w:tc>
        <w:tc>
          <w:tcPr>
            <w:tcW w:w="7668"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before="1" w:beforeLines="0" w:afterLines="0" w:line="440" w:lineRule="exact"/>
              <w:ind w:left="0" w:leftChars="0" w:right="0" w:rightChars="0"/>
              <w:jc w:val="both"/>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sz w:val="21"/>
                <w:szCs w:val="21"/>
              </w:rPr>
              <w:t>采用</w:t>
            </w:r>
            <w:r>
              <w:rPr>
                <w:rFonts w:hint="eastAsia" w:ascii="微软雅黑" w:hAnsi="微软雅黑" w:eastAsia="微软雅黑" w:cs="微软雅黑"/>
                <w:color w:val="000000"/>
                <w:sz w:val="21"/>
                <w:szCs w:val="21"/>
                <w:lang w:eastAsia="zh-CN"/>
              </w:rPr>
              <w:t>紫外光灭菌灯</w:t>
            </w:r>
            <w:r>
              <w:rPr>
                <w:rFonts w:hint="eastAsia" w:ascii="微软雅黑" w:hAnsi="微软雅黑" w:eastAsia="微软雅黑" w:cs="微软雅黑"/>
                <w:color w:val="000000"/>
                <w:sz w:val="21"/>
                <w:szCs w:val="21"/>
              </w:rPr>
              <w:t>，冷阴极灯管，辅助杀菌并具备定时延时开启功能。</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0" w:type="dxa"/>
            <w:bottom w:w="0" w:type="dxa"/>
            <w:right w:w="0" w:type="dxa"/>
          </w:tblCellMar>
        </w:tblPrEx>
        <w:trPr>
          <w:gridBefore w:val="1"/>
          <w:wBefore w:w="5" w:type="dxa"/>
          <w:trHeight w:val="880" w:hRule="atLeast"/>
          <w:jc w:val="center"/>
        </w:trPr>
        <w:tc>
          <w:tcPr>
            <w:tcW w:w="9824" w:type="dxa"/>
            <w:gridSpan w:val="4"/>
            <w:tcBorders>
              <w:tl2br w:val="nil"/>
              <w:tr2bl w:val="nil"/>
            </w:tcBorders>
            <w:vAlign w:val="center"/>
          </w:tcPr>
          <w:p>
            <w:pPr>
              <w:keepNext w:val="0"/>
              <w:keepLines w:val="0"/>
              <w:pageBreakBefore w:val="0"/>
              <w:kinsoku/>
              <w:wordWrap/>
              <w:overflowPunct/>
              <w:topLinePunct w:val="0"/>
              <w:autoSpaceDE/>
              <w:autoSpaceDN/>
              <w:bidi w:val="0"/>
              <w:adjustRightInd/>
              <w:snapToGrid/>
              <w:spacing w:before="1" w:beforeLines="0" w:afterLines="0" w:line="440" w:lineRule="exact"/>
              <w:ind w:left="0" w:leftChars="0" w:right="0" w:rightChars="0"/>
              <w:jc w:val="both"/>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b/>
                <w:bCs/>
                <w:color w:val="000000"/>
                <w:sz w:val="21"/>
                <w:szCs w:val="21"/>
              </w:rPr>
              <w:t>照明系统</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0" w:type="dxa"/>
            <w:bottom w:w="0" w:type="dxa"/>
            <w:right w:w="0" w:type="dxa"/>
          </w:tblCellMar>
        </w:tblPrEx>
        <w:trPr>
          <w:gridBefore w:val="1"/>
          <w:wBefore w:w="5" w:type="dxa"/>
          <w:trHeight w:val="880" w:hRule="atLeast"/>
          <w:jc w:val="center"/>
        </w:trPr>
        <w:tc>
          <w:tcPr>
            <w:tcW w:w="2156" w:type="dxa"/>
            <w:gridSpan w:val="2"/>
            <w:tcBorders>
              <w:tl2br w:val="nil"/>
              <w:tr2bl w:val="nil"/>
            </w:tcBorders>
            <w:vAlign w:val="center"/>
          </w:tcPr>
          <w:p>
            <w:pPr>
              <w:keepNext w:val="0"/>
              <w:keepLines w:val="0"/>
              <w:pageBreakBefore w:val="0"/>
              <w:kinsoku/>
              <w:wordWrap/>
              <w:overflowPunct/>
              <w:topLinePunct w:val="0"/>
              <w:autoSpaceDE/>
              <w:autoSpaceDN/>
              <w:bidi w:val="0"/>
              <w:adjustRightInd/>
              <w:spacing w:before="1" w:beforeLines="0" w:afterLines="0" w:line="440" w:lineRule="exact"/>
              <w:ind w:left="0" w:leftChars="0" w:right="0" w:rightChars="0"/>
              <w:jc w:val="both"/>
              <w:textAlignment w:val="auto"/>
              <w:rPr>
                <w:rFonts w:hint="eastAsia" w:ascii="微软雅黑" w:hAnsi="微软雅黑" w:eastAsia="微软雅黑" w:cs="微软雅黑"/>
                <w:b w:val="0"/>
                <w:bCs w:val="0"/>
                <w:color w:val="000000"/>
                <w:kern w:val="2"/>
                <w:sz w:val="21"/>
                <w:szCs w:val="21"/>
                <w:lang w:val="en-US" w:eastAsia="zh-CN" w:bidi="ar-SA"/>
              </w:rPr>
            </w:pPr>
            <w:r>
              <w:rPr>
                <w:rFonts w:hint="eastAsia" w:ascii="微软雅黑" w:hAnsi="微软雅黑" w:eastAsia="微软雅黑" w:cs="微软雅黑"/>
                <w:b w:val="0"/>
                <w:bCs w:val="0"/>
                <w:color w:val="000000"/>
                <w:sz w:val="21"/>
                <w:szCs w:val="21"/>
              </w:rPr>
              <w:t>工作灯</w:t>
            </w:r>
          </w:p>
        </w:tc>
        <w:tc>
          <w:tcPr>
            <w:tcW w:w="7668"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before="1" w:beforeLines="0" w:afterLines="0" w:line="440" w:lineRule="exact"/>
              <w:ind w:left="0" w:leftChars="0" w:right="0" w:rightChars="0"/>
              <w:jc w:val="both"/>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sz w:val="21"/>
                <w:szCs w:val="21"/>
              </w:rPr>
              <w:t>医疗舱内部</w:t>
            </w:r>
            <w:r>
              <w:rPr>
                <w:rFonts w:hint="eastAsia" w:cs="微软雅黑"/>
                <w:color w:val="000000"/>
                <w:sz w:val="21"/>
                <w:szCs w:val="21"/>
                <w:lang w:val="en-US" w:eastAsia="zh-CN"/>
              </w:rPr>
              <w:t>4</w:t>
            </w:r>
            <w:r>
              <w:rPr>
                <w:rFonts w:hint="eastAsia" w:ascii="微软雅黑" w:hAnsi="微软雅黑" w:eastAsia="微软雅黑" w:cs="微软雅黑"/>
                <w:color w:val="000000"/>
                <w:sz w:val="21"/>
                <w:szCs w:val="21"/>
                <w:lang w:val="en-US" w:eastAsia="zh-CN"/>
              </w:rPr>
              <w:t>盏</w:t>
            </w:r>
            <w:r>
              <w:rPr>
                <w:rFonts w:hint="eastAsia" w:ascii="微软雅黑" w:hAnsi="微软雅黑" w:eastAsia="微软雅黑" w:cs="微软雅黑"/>
                <w:color w:val="000000"/>
                <w:sz w:val="21"/>
                <w:szCs w:val="21"/>
              </w:rPr>
              <w:t>LED方形照明</w:t>
            </w:r>
            <w:r>
              <w:rPr>
                <w:rFonts w:hint="eastAsia" w:ascii="微软雅黑" w:hAnsi="微软雅黑" w:eastAsia="微软雅黑" w:cs="微软雅黑"/>
                <w:color w:val="000000"/>
                <w:sz w:val="21"/>
                <w:szCs w:val="21"/>
                <w:lang w:eastAsia="zh-CN"/>
              </w:rPr>
              <w:t>，</w:t>
            </w:r>
            <w:r>
              <w:rPr>
                <w:rFonts w:hint="eastAsia" w:ascii="微软雅黑" w:hAnsi="微软雅黑" w:eastAsia="微软雅黑" w:cs="微软雅黑"/>
                <w:color w:val="000000"/>
                <w:sz w:val="21"/>
                <w:szCs w:val="21"/>
              </w:rPr>
              <w:t>灯光线柔和均匀，满足急救工作需要</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0" w:type="dxa"/>
            <w:bottom w:w="0" w:type="dxa"/>
            <w:right w:w="0" w:type="dxa"/>
          </w:tblCellMar>
        </w:tblPrEx>
        <w:trPr>
          <w:gridBefore w:val="1"/>
          <w:wBefore w:w="5" w:type="dxa"/>
          <w:trHeight w:val="880" w:hRule="atLeast"/>
          <w:jc w:val="center"/>
        </w:trPr>
        <w:tc>
          <w:tcPr>
            <w:tcW w:w="2156" w:type="dxa"/>
            <w:gridSpan w:val="2"/>
            <w:tcBorders>
              <w:tl2br w:val="nil"/>
              <w:tr2bl w:val="nil"/>
            </w:tcBorders>
            <w:vAlign w:val="center"/>
          </w:tcPr>
          <w:p>
            <w:pPr>
              <w:keepNext w:val="0"/>
              <w:keepLines w:val="0"/>
              <w:pageBreakBefore w:val="0"/>
              <w:kinsoku/>
              <w:wordWrap/>
              <w:overflowPunct/>
              <w:topLinePunct w:val="0"/>
              <w:autoSpaceDE/>
              <w:autoSpaceDN/>
              <w:bidi w:val="0"/>
              <w:adjustRightInd/>
              <w:spacing w:before="1" w:beforeLines="0" w:afterLines="0" w:line="440" w:lineRule="exact"/>
              <w:ind w:left="0" w:leftChars="0" w:right="0" w:rightChars="0"/>
              <w:jc w:val="both"/>
              <w:textAlignment w:val="auto"/>
              <w:rPr>
                <w:rFonts w:hint="eastAsia" w:ascii="微软雅黑" w:hAnsi="微软雅黑" w:eastAsia="微软雅黑" w:cs="微软雅黑"/>
                <w:b w:val="0"/>
                <w:bCs w:val="0"/>
                <w:color w:val="000000"/>
                <w:kern w:val="2"/>
                <w:sz w:val="21"/>
                <w:szCs w:val="21"/>
                <w:lang w:val="en-US" w:eastAsia="zh-CN" w:bidi="ar-SA"/>
              </w:rPr>
            </w:pPr>
            <w:r>
              <w:rPr>
                <w:rFonts w:hint="eastAsia" w:ascii="微软雅黑" w:hAnsi="微软雅黑" w:eastAsia="微软雅黑" w:cs="微软雅黑"/>
                <w:b w:val="0"/>
                <w:bCs w:val="0"/>
                <w:color w:val="000000"/>
                <w:sz w:val="21"/>
                <w:szCs w:val="21"/>
                <w:lang w:eastAsia="zh-CN"/>
              </w:rPr>
              <w:t>输液射灯</w:t>
            </w:r>
          </w:p>
        </w:tc>
        <w:tc>
          <w:tcPr>
            <w:tcW w:w="7668"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before="1" w:beforeLines="0" w:afterLines="0" w:line="440" w:lineRule="exact"/>
              <w:ind w:left="0" w:leftChars="0" w:right="0" w:rightChars="0"/>
              <w:jc w:val="both"/>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kern w:val="0"/>
                <w:sz w:val="21"/>
                <w:szCs w:val="21"/>
              </w:rPr>
              <w:t>医疗舱内部</w:t>
            </w:r>
            <w:r>
              <w:rPr>
                <w:rFonts w:hint="eastAsia" w:ascii="微软雅黑" w:hAnsi="微软雅黑" w:eastAsia="微软雅黑" w:cs="微软雅黑"/>
                <w:kern w:val="0"/>
                <w:sz w:val="21"/>
                <w:szCs w:val="21"/>
                <w:lang w:val="en-US" w:eastAsia="zh-CN"/>
              </w:rPr>
              <w:t>2</w:t>
            </w:r>
            <w:r>
              <w:rPr>
                <w:rFonts w:hint="eastAsia" w:ascii="微软雅黑" w:hAnsi="微软雅黑" w:eastAsia="微软雅黑" w:cs="微软雅黑"/>
                <w:color w:val="000000"/>
                <w:sz w:val="21"/>
                <w:szCs w:val="21"/>
                <w:lang w:val="en-US" w:eastAsia="zh-CN"/>
              </w:rPr>
              <w:t>盏</w:t>
            </w:r>
            <w:r>
              <w:rPr>
                <w:rFonts w:hint="eastAsia" w:ascii="微软雅黑" w:hAnsi="微软雅黑" w:eastAsia="微软雅黑" w:cs="微软雅黑"/>
                <w:kern w:val="0"/>
                <w:sz w:val="21"/>
                <w:szCs w:val="21"/>
              </w:rPr>
              <w:t>LED射灯</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0" w:type="dxa"/>
            <w:bottom w:w="0" w:type="dxa"/>
            <w:right w:w="0" w:type="dxa"/>
          </w:tblCellMar>
        </w:tblPrEx>
        <w:trPr>
          <w:gridBefore w:val="1"/>
          <w:wBefore w:w="5" w:type="dxa"/>
          <w:trHeight w:val="940" w:hRule="atLeast"/>
          <w:jc w:val="center"/>
        </w:trPr>
        <w:tc>
          <w:tcPr>
            <w:tcW w:w="2156" w:type="dxa"/>
            <w:gridSpan w:val="2"/>
            <w:tcBorders>
              <w:tl2br w:val="nil"/>
              <w:tr2bl w:val="nil"/>
            </w:tcBorders>
            <w:vAlign w:val="center"/>
          </w:tcPr>
          <w:p>
            <w:pPr>
              <w:keepNext w:val="0"/>
              <w:keepLines w:val="0"/>
              <w:pageBreakBefore w:val="0"/>
              <w:kinsoku/>
              <w:wordWrap/>
              <w:overflowPunct/>
              <w:topLinePunct w:val="0"/>
              <w:autoSpaceDE/>
              <w:autoSpaceDN/>
              <w:bidi w:val="0"/>
              <w:adjustRightInd/>
              <w:spacing w:before="1" w:beforeLines="0" w:afterLines="0" w:line="440" w:lineRule="exact"/>
              <w:ind w:left="0" w:leftChars="0" w:right="0" w:rightChars="0"/>
              <w:jc w:val="both"/>
              <w:textAlignment w:val="auto"/>
              <w:rPr>
                <w:rFonts w:hint="eastAsia" w:ascii="微软雅黑" w:hAnsi="微软雅黑" w:eastAsia="微软雅黑" w:cs="微软雅黑"/>
                <w:b w:val="0"/>
                <w:bCs w:val="0"/>
                <w:color w:val="000000"/>
                <w:kern w:val="2"/>
                <w:sz w:val="21"/>
                <w:szCs w:val="21"/>
                <w:lang w:val="en-US" w:eastAsia="zh-CN" w:bidi="ar-SA"/>
              </w:rPr>
            </w:pPr>
            <w:r>
              <w:rPr>
                <w:rFonts w:hint="eastAsia" w:ascii="微软雅黑" w:hAnsi="微软雅黑" w:eastAsia="微软雅黑" w:cs="微软雅黑"/>
                <w:b w:val="0"/>
                <w:bCs w:val="0"/>
                <w:color w:val="000000"/>
                <w:sz w:val="21"/>
                <w:szCs w:val="21"/>
                <w:lang w:eastAsia="zh-CN"/>
              </w:rPr>
              <w:t>后照明</w:t>
            </w:r>
          </w:p>
        </w:tc>
        <w:tc>
          <w:tcPr>
            <w:tcW w:w="7668"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before="1" w:beforeLines="0" w:afterLines="0" w:line="440" w:lineRule="exact"/>
              <w:ind w:left="0" w:leftChars="0" w:right="0" w:rightChars="0"/>
              <w:jc w:val="both"/>
              <w:textAlignment w:val="auto"/>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color w:val="000000"/>
                <w:sz w:val="21"/>
                <w:szCs w:val="21"/>
                <w:lang w:val="en-US" w:eastAsia="zh-CN"/>
              </w:rPr>
              <w:t>1盏</w:t>
            </w:r>
            <w:r>
              <w:rPr>
                <w:rFonts w:hint="eastAsia" w:ascii="微软雅黑" w:hAnsi="微软雅黑" w:eastAsia="微软雅黑" w:cs="微软雅黑"/>
                <w:color w:val="000000"/>
                <w:kern w:val="0"/>
                <w:sz w:val="21"/>
                <w:szCs w:val="21"/>
              </w:rPr>
              <w:t>大功率LED后射灯，有效距离不小于10米。</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0" w:type="dxa"/>
            <w:bottom w:w="0" w:type="dxa"/>
            <w:right w:w="0" w:type="dxa"/>
          </w:tblCellMar>
        </w:tblPrEx>
        <w:trPr>
          <w:gridBefore w:val="1"/>
          <w:wBefore w:w="5" w:type="dxa"/>
          <w:trHeight w:val="880" w:hRule="atLeast"/>
          <w:jc w:val="center"/>
        </w:trPr>
        <w:tc>
          <w:tcPr>
            <w:tcW w:w="9824" w:type="dxa"/>
            <w:gridSpan w:val="4"/>
            <w:tcBorders>
              <w:tl2br w:val="nil"/>
              <w:tr2bl w:val="nil"/>
            </w:tcBorders>
            <w:vAlign w:val="center"/>
          </w:tcPr>
          <w:p>
            <w:pPr>
              <w:keepNext w:val="0"/>
              <w:keepLines w:val="0"/>
              <w:pageBreakBefore w:val="0"/>
              <w:kinsoku/>
              <w:wordWrap/>
              <w:overflowPunct/>
              <w:topLinePunct w:val="0"/>
              <w:autoSpaceDE/>
              <w:autoSpaceDN/>
              <w:bidi w:val="0"/>
              <w:adjustRightInd/>
              <w:snapToGrid/>
              <w:spacing w:before="1" w:beforeLines="0" w:afterLines="0" w:line="440" w:lineRule="exact"/>
              <w:ind w:left="0" w:leftChars="0" w:right="0" w:rightChars="0"/>
              <w:jc w:val="both"/>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b/>
                <w:bCs/>
                <w:color w:val="000000"/>
                <w:sz w:val="21"/>
                <w:szCs w:val="21"/>
              </w:rPr>
              <w:t>车载担架系统</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0" w:type="dxa"/>
            <w:bottom w:w="0" w:type="dxa"/>
            <w:right w:w="0" w:type="dxa"/>
          </w:tblCellMar>
        </w:tblPrEx>
        <w:trPr>
          <w:gridBefore w:val="1"/>
          <w:wBefore w:w="5" w:type="dxa"/>
          <w:trHeight w:val="880" w:hRule="atLeast"/>
          <w:jc w:val="center"/>
        </w:trPr>
        <w:tc>
          <w:tcPr>
            <w:tcW w:w="2156" w:type="dxa"/>
            <w:gridSpan w:val="2"/>
            <w:tcBorders>
              <w:tl2br w:val="nil"/>
              <w:tr2bl w:val="nil"/>
            </w:tcBorders>
            <w:vAlign w:val="center"/>
          </w:tcPr>
          <w:p>
            <w:pPr>
              <w:keepNext w:val="0"/>
              <w:keepLines w:val="0"/>
              <w:pageBreakBefore w:val="0"/>
              <w:kinsoku/>
              <w:wordWrap/>
              <w:overflowPunct/>
              <w:topLinePunct w:val="0"/>
              <w:autoSpaceDE/>
              <w:autoSpaceDN/>
              <w:bidi w:val="0"/>
              <w:adjustRightInd/>
              <w:spacing w:before="1" w:beforeLines="0" w:afterLines="0" w:line="440" w:lineRule="exact"/>
              <w:ind w:left="0" w:leftChars="0" w:right="0" w:rightChars="0"/>
              <w:jc w:val="both"/>
              <w:textAlignment w:val="auto"/>
              <w:rPr>
                <w:rFonts w:hint="eastAsia" w:ascii="微软雅黑" w:hAnsi="微软雅黑" w:eastAsia="微软雅黑" w:cs="微软雅黑"/>
                <w:b/>
                <w:bCs/>
                <w:color w:val="000000"/>
                <w:kern w:val="2"/>
                <w:sz w:val="21"/>
                <w:szCs w:val="21"/>
                <w:lang w:val="en-US" w:eastAsia="zh-CN" w:bidi="ar-SA"/>
              </w:rPr>
            </w:pPr>
            <w:r>
              <w:rPr>
                <w:rFonts w:hint="eastAsia" w:ascii="微软雅黑" w:hAnsi="微软雅黑" w:eastAsia="微软雅黑" w:cs="微软雅黑"/>
                <w:b w:val="0"/>
                <w:bCs w:val="0"/>
                <w:color w:val="000000"/>
                <w:sz w:val="21"/>
                <w:szCs w:val="21"/>
              </w:rPr>
              <w:t>自动上车担架</w:t>
            </w:r>
          </w:p>
        </w:tc>
        <w:tc>
          <w:tcPr>
            <w:tcW w:w="7668"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before="22" w:beforeLines="0" w:afterLines="0" w:line="440" w:lineRule="exact"/>
              <w:jc w:val="both"/>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自动上车担架</w:t>
            </w:r>
          </w:p>
          <w:p>
            <w:pPr>
              <w:keepNext w:val="0"/>
              <w:keepLines w:val="0"/>
              <w:pageBreakBefore w:val="0"/>
              <w:kinsoku/>
              <w:wordWrap/>
              <w:overflowPunct/>
              <w:topLinePunct w:val="0"/>
              <w:autoSpaceDE/>
              <w:autoSpaceDN/>
              <w:bidi w:val="0"/>
              <w:adjustRightInd/>
              <w:snapToGrid/>
              <w:spacing w:before="22" w:beforeLines="0" w:afterLines="0" w:line="440" w:lineRule="exact"/>
              <w:jc w:val="both"/>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1、产品尺寸：1900×550×830mm</w:t>
            </w:r>
          </w:p>
          <w:p>
            <w:pPr>
              <w:keepNext w:val="0"/>
              <w:keepLines w:val="0"/>
              <w:pageBreakBefore w:val="0"/>
              <w:kinsoku/>
              <w:wordWrap/>
              <w:overflowPunct/>
              <w:topLinePunct w:val="0"/>
              <w:autoSpaceDE/>
              <w:autoSpaceDN/>
              <w:bidi w:val="0"/>
              <w:adjustRightInd/>
              <w:snapToGrid/>
              <w:spacing w:before="22" w:beforeLines="0" w:afterLines="0" w:line="440" w:lineRule="exact"/>
              <w:jc w:val="both"/>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2、折叠尺寸：1900×550×230mm</w:t>
            </w:r>
          </w:p>
          <w:p>
            <w:pPr>
              <w:keepNext w:val="0"/>
              <w:keepLines w:val="0"/>
              <w:pageBreakBefore w:val="0"/>
              <w:kinsoku/>
              <w:wordWrap/>
              <w:overflowPunct/>
              <w:topLinePunct w:val="0"/>
              <w:autoSpaceDE/>
              <w:autoSpaceDN/>
              <w:bidi w:val="0"/>
              <w:adjustRightInd/>
              <w:snapToGrid/>
              <w:spacing w:before="22" w:beforeLines="0" w:afterLines="0" w:line="440" w:lineRule="exact"/>
              <w:jc w:val="both"/>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3、活动架调节角度：0-48°</w:t>
            </w:r>
          </w:p>
          <w:p>
            <w:pPr>
              <w:keepNext w:val="0"/>
              <w:keepLines w:val="0"/>
              <w:pageBreakBefore w:val="0"/>
              <w:kinsoku/>
              <w:wordWrap/>
              <w:overflowPunct/>
              <w:topLinePunct w:val="0"/>
              <w:autoSpaceDE/>
              <w:autoSpaceDN/>
              <w:bidi w:val="0"/>
              <w:adjustRightInd/>
              <w:snapToGrid/>
              <w:spacing w:before="22" w:beforeLines="0" w:afterLines="0" w:line="440" w:lineRule="exact"/>
              <w:jc w:val="both"/>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4、自重：38KG</w:t>
            </w:r>
          </w:p>
          <w:p>
            <w:pPr>
              <w:keepNext w:val="0"/>
              <w:keepLines w:val="0"/>
              <w:pageBreakBefore w:val="0"/>
              <w:kinsoku/>
              <w:wordWrap/>
              <w:overflowPunct/>
              <w:topLinePunct w:val="0"/>
              <w:autoSpaceDE/>
              <w:autoSpaceDN/>
              <w:bidi w:val="0"/>
              <w:adjustRightInd/>
              <w:snapToGrid/>
              <w:spacing w:before="22" w:beforeLines="0" w:afterLines="0" w:line="440" w:lineRule="exact"/>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5、承重：159KG</w:t>
            </w:r>
          </w:p>
          <w:p>
            <w:pPr>
              <w:keepNext w:val="0"/>
              <w:keepLines w:val="0"/>
              <w:pageBreakBefore w:val="0"/>
              <w:kinsoku/>
              <w:wordWrap/>
              <w:overflowPunct/>
              <w:topLinePunct w:val="0"/>
              <w:autoSpaceDE/>
              <w:autoSpaceDN/>
              <w:bidi w:val="0"/>
              <w:adjustRightInd/>
              <w:snapToGrid/>
              <w:spacing w:before="22" w:beforeLines="0" w:afterLines="0" w:line="440" w:lineRule="exact"/>
              <w:ind w:left="0" w:leftChars="0" w:right="0" w:rightChars="0"/>
              <w:jc w:val="both"/>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sz w:val="21"/>
                <w:szCs w:val="21"/>
              </w:rPr>
              <w:t>6、铝合金制成，与救护车配套使用，能够便利安全的转移病人；PVC防水海绵床垫，靠背可调节，使病人感觉舒服；加粗的椭圆形腿管，四周均匀分布的辅助上车轮以及铝块大大增加了井架的承重力，仅需一人便轻松完成上车过程；结构合理，能通过扇形调节板调节导轮高度，满足不同型号救护车；仅需要一人就可便捷地实现高低姿态变位转移，提高救援效率。</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0" w:type="dxa"/>
            <w:bottom w:w="0" w:type="dxa"/>
            <w:right w:w="0" w:type="dxa"/>
          </w:tblCellMar>
        </w:tblPrEx>
        <w:trPr>
          <w:gridBefore w:val="1"/>
          <w:wBefore w:w="5" w:type="dxa"/>
          <w:trHeight w:val="880" w:hRule="atLeast"/>
          <w:jc w:val="center"/>
        </w:trPr>
        <w:tc>
          <w:tcPr>
            <w:tcW w:w="9824" w:type="dxa"/>
            <w:gridSpan w:val="4"/>
            <w:tcBorders>
              <w:tl2br w:val="nil"/>
              <w:tr2bl w:val="nil"/>
            </w:tcBorders>
            <w:vAlign w:val="center"/>
          </w:tcPr>
          <w:p>
            <w:pPr>
              <w:keepNext w:val="0"/>
              <w:keepLines w:val="0"/>
              <w:pageBreakBefore w:val="0"/>
              <w:kinsoku/>
              <w:wordWrap/>
              <w:overflowPunct/>
              <w:topLinePunct w:val="0"/>
              <w:autoSpaceDE/>
              <w:autoSpaceDN/>
              <w:bidi w:val="0"/>
              <w:adjustRightInd/>
              <w:snapToGrid/>
              <w:spacing w:before="1" w:beforeLines="0" w:afterLines="0" w:line="440" w:lineRule="exact"/>
              <w:ind w:left="0" w:leftChars="0" w:right="0" w:rightChars="0"/>
              <w:jc w:val="both"/>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b/>
                <w:bCs/>
                <w:color w:val="000000"/>
                <w:kern w:val="2"/>
                <w:sz w:val="21"/>
                <w:szCs w:val="21"/>
                <w:lang w:val="en-US" w:eastAsia="zh-CN" w:bidi="ar-SA"/>
              </w:rPr>
              <w:t>辅助设施</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0" w:type="dxa"/>
            <w:bottom w:w="0" w:type="dxa"/>
            <w:right w:w="0" w:type="dxa"/>
          </w:tblCellMar>
        </w:tblPrEx>
        <w:trPr>
          <w:gridBefore w:val="1"/>
          <w:wBefore w:w="5" w:type="dxa"/>
          <w:trHeight w:val="880" w:hRule="atLeast"/>
          <w:jc w:val="center"/>
        </w:trPr>
        <w:tc>
          <w:tcPr>
            <w:tcW w:w="2156" w:type="dxa"/>
            <w:gridSpan w:val="2"/>
            <w:tcBorders>
              <w:tl2br w:val="nil"/>
              <w:tr2bl w:val="nil"/>
            </w:tcBorders>
            <w:vAlign w:val="center"/>
          </w:tcPr>
          <w:p>
            <w:pPr>
              <w:keepNext w:val="0"/>
              <w:keepLines w:val="0"/>
              <w:pageBreakBefore w:val="0"/>
              <w:kinsoku/>
              <w:wordWrap/>
              <w:overflowPunct/>
              <w:topLinePunct w:val="0"/>
              <w:autoSpaceDE/>
              <w:autoSpaceDN/>
              <w:bidi w:val="0"/>
              <w:adjustRightInd/>
              <w:spacing w:before="1" w:beforeLines="0" w:afterLines="0" w:line="440" w:lineRule="exact"/>
              <w:ind w:left="0" w:leftChars="0" w:right="0" w:rightChars="0"/>
              <w:jc w:val="both"/>
              <w:textAlignment w:val="auto"/>
              <w:rPr>
                <w:rFonts w:hint="eastAsia" w:ascii="微软雅黑" w:hAnsi="微软雅黑" w:eastAsia="微软雅黑" w:cs="微软雅黑"/>
                <w:b w:val="0"/>
                <w:bCs w:val="0"/>
                <w:color w:val="000000"/>
                <w:kern w:val="2"/>
                <w:sz w:val="21"/>
                <w:szCs w:val="21"/>
                <w:lang w:val="en-US" w:eastAsia="zh-CN" w:bidi="ar-SA"/>
              </w:rPr>
            </w:pPr>
            <w:r>
              <w:rPr>
                <w:rFonts w:hint="eastAsia" w:ascii="微软雅黑" w:hAnsi="微软雅黑" w:eastAsia="微软雅黑" w:cs="微软雅黑"/>
                <w:b w:val="0"/>
                <w:bCs w:val="0"/>
                <w:color w:val="000000"/>
                <w:sz w:val="21"/>
                <w:szCs w:val="21"/>
              </w:rPr>
              <w:t>输液固定器</w:t>
            </w:r>
          </w:p>
        </w:tc>
        <w:tc>
          <w:tcPr>
            <w:tcW w:w="7668"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before="1" w:beforeLines="0" w:afterLines="0" w:line="440" w:lineRule="exact"/>
              <w:ind w:left="0" w:leftChars="0" w:right="0" w:rightChars="0"/>
              <w:jc w:val="both"/>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sz w:val="21"/>
                <w:szCs w:val="21"/>
              </w:rPr>
              <w:t>在担架车上方安装2组垂直式输液架</w:t>
            </w:r>
            <w:r>
              <w:rPr>
                <w:rFonts w:hint="eastAsia" w:ascii="微软雅黑" w:hAnsi="微软雅黑" w:eastAsia="微软雅黑" w:cs="微软雅黑"/>
                <w:color w:val="000000"/>
                <w:kern w:val="0"/>
                <w:sz w:val="21"/>
                <w:szCs w:val="21"/>
              </w:rPr>
              <w:t>及</w:t>
            </w:r>
            <w:r>
              <w:rPr>
                <w:rFonts w:hint="eastAsia" w:ascii="微软雅黑" w:hAnsi="微软雅黑" w:eastAsia="微软雅黑" w:cs="微软雅黑"/>
                <w:color w:val="000000"/>
                <w:sz w:val="21"/>
                <w:szCs w:val="21"/>
              </w:rPr>
              <w:t>输液泵固定支架，负重&gt;5kg。</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0" w:type="dxa"/>
            <w:bottom w:w="0" w:type="dxa"/>
            <w:right w:w="0" w:type="dxa"/>
          </w:tblCellMar>
        </w:tblPrEx>
        <w:trPr>
          <w:gridBefore w:val="1"/>
          <w:wBefore w:w="5" w:type="dxa"/>
          <w:trHeight w:val="880" w:hRule="atLeast"/>
          <w:jc w:val="center"/>
        </w:trPr>
        <w:tc>
          <w:tcPr>
            <w:tcW w:w="2156" w:type="dxa"/>
            <w:gridSpan w:val="2"/>
            <w:tcBorders>
              <w:tl2br w:val="nil"/>
              <w:tr2bl w:val="nil"/>
            </w:tcBorders>
            <w:vAlign w:val="center"/>
          </w:tcPr>
          <w:p>
            <w:pPr>
              <w:keepNext w:val="0"/>
              <w:keepLines w:val="0"/>
              <w:pageBreakBefore w:val="0"/>
              <w:kinsoku/>
              <w:wordWrap/>
              <w:overflowPunct/>
              <w:topLinePunct w:val="0"/>
              <w:autoSpaceDE/>
              <w:autoSpaceDN/>
              <w:bidi w:val="0"/>
              <w:adjustRightInd/>
              <w:spacing w:before="49" w:beforeLines="0" w:afterLines="0" w:line="440" w:lineRule="exact"/>
              <w:ind w:left="0" w:leftChars="0" w:right="0" w:rightChars="0"/>
              <w:jc w:val="both"/>
              <w:textAlignment w:val="auto"/>
              <w:rPr>
                <w:rFonts w:hint="eastAsia" w:ascii="微软雅黑" w:hAnsi="微软雅黑" w:eastAsia="微软雅黑" w:cs="微软雅黑"/>
                <w:b w:val="0"/>
                <w:bCs w:val="0"/>
                <w:color w:val="000000"/>
                <w:kern w:val="2"/>
                <w:sz w:val="21"/>
                <w:szCs w:val="21"/>
                <w:lang w:val="en-US" w:eastAsia="zh-CN" w:bidi="ar-SA"/>
              </w:rPr>
            </w:pPr>
            <w:r>
              <w:rPr>
                <w:rFonts w:hint="eastAsia" w:ascii="微软雅黑" w:hAnsi="微软雅黑" w:eastAsia="微软雅黑" w:cs="微软雅黑"/>
                <w:b w:val="0"/>
                <w:bCs w:val="0"/>
                <w:color w:val="000000"/>
                <w:sz w:val="21"/>
                <w:szCs w:val="21"/>
              </w:rPr>
              <w:t>语音系统</w:t>
            </w:r>
          </w:p>
        </w:tc>
        <w:tc>
          <w:tcPr>
            <w:tcW w:w="7668"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before="49" w:beforeLines="0" w:afterLines="0" w:line="440" w:lineRule="exact"/>
              <w:ind w:left="0" w:leftChars="0" w:right="0" w:rightChars="0"/>
              <w:jc w:val="both"/>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kern w:val="0"/>
                <w:sz w:val="21"/>
                <w:szCs w:val="21"/>
                <w:lang w:bidi="ar"/>
              </w:rPr>
              <w:t>驾驶室与医疗舱前后免提对讲系统</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0" w:type="dxa"/>
            <w:bottom w:w="0" w:type="dxa"/>
            <w:right w:w="0" w:type="dxa"/>
          </w:tblCellMar>
        </w:tblPrEx>
        <w:trPr>
          <w:gridBefore w:val="1"/>
          <w:wBefore w:w="5" w:type="dxa"/>
          <w:trHeight w:val="880" w:hRule="atLeast"/>
          <w:jc w:val="center"/>
        </w:trPr>
        <w:tc>
          <w:tcPr>
            <w:tcW w:w="2156" w:type="dxa"/>
            <w:gridSpan w:val="2"/>
            <w:tcBorders>
              <w:tl2br w:val="nil"/>
              <w:tr2bl w:val="nil"/>
            </w:tcBorders>
            <w:vAlign w:val="center"/>
          </w:tcPr>
          <w:p>
            <w:pPr>
              <w:keepNext w:val="0"/>
              <w:keepLines w:val="0"/>
              <w:pageBreakBefore w:val="0"/>
              <w:kinsoku/>
              <w:wordWrap/>
              <w:overflowPunct/>
              <w:topLinePunct w:val="0"/>
              <w:autoSpaceDE/>
              <w:autoSpaceDN/>
              <w:bidi w:val="0"/>
              <w:adjustRightInd/>
              <w:spacing w:before="49" w:beforeLines="0" w:afterLines="0" w:line="440" w:lineRule="exact"/>
              <w:ind w:left="0" w:leftChars="0" w:right="0" w:rightChars="0"/>
              <w:jc w:val="both"/>
              <w:textAlignment w:val="auto"/>
              <w:rPr>
                <w:rFonts w:hint="eastAsia" w:ascii="微软雅黑" w:hAnsi="微软雅黑" w:eastAsia="微软雅黑" w:cs="微软雅黑"/>
                <w:b w:val="0"/>
                <w:bCs w:val="0"/>
                <w:color w:val="000000"/>
                <w:kern w:val="2"/>
                <w:sz w:val="21"/>
                <w:szCs w:val="21"/>
                <w:lang w:val="en-US" w:eastAsia="zh-CN" w:bidi="ar-SA"/>
              </w:rPr>
            </w:pPr>
            <w:r>
              <w:rPr>
                <w:rFonts w:hint="eastAsia" w:ascii="微软雅黑" w:hAnsi="微软雅黑" w:eastAsia="微软雅黑" w:cs="微软雅黑"/>
                <w:b w:val="0"/>
                <w:bCs w:val="0"/>
                <w:color w:val="000000"/>
                <w:kern w:val="2"/>
                <w:sz w:val="21"/>
                <w:szCs w:val="21"/>
                <w:lang w:val="en-US" w:eastAsia="zh-CN" w:bidi="ar-SA"/>
              </w:rPr>
              <w:t>污物桶</w:t>
            </w:r>
          </w:p>
        </w:tc>
        <w:tc>
          <w:tcPr>
            <w:tcW w:w="7668"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before="49" w:beforeLines="0" w:afterLines="0" w:line="440" w:lineRule="exact"/>
              <w:ind w:left="0" w:leftChars="0" w:right="0" w:rightChars="0"/>
              <w:jc w:val="both"/>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sz w:val="21"/>
                <w:szCs w:val="21"/>
              </w:rPr>
              <w:t>在不影响医护人员急救工作且方便操作的位置应配污物桶。</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0" w:type="dxa"/>
            <w:bottom w:w="0" w:type="dxa"/>
            <w:right w:w="0" w:type="dxa"/>
          </w:tblCellMar>
        </w:tblPrEx>
        <w:trPr>
          <w:gridBefore w:val="1"/>
          <w:wBefore w:w="5" w:type="dxa"/>
          <w:trHeight w:val="880" w:hRule="atLeast"/>
          <w:jc w:val="center"/>
        </w:trPr>
        <w:tc>
          <w:tcPr>
            <w:tcW w:w="2156" w:type="dxa"/>
            <w:gridSpan w:val="2"/>
            <w:tcBorders>
              <w:tl2br w:val="nil"/>
              <w:tr2bl w:val="nil"/>
            </w:tcBorders>
            <w:vAlign w:val="center"/>
          </w:tcPr>
          <w:p>
            <w:pPr>
              <w:keepNext w:val="0"/>
              <w:keepLines w:val="0"/>
              <w:pageBreakBefore w:val="0"/>
              <w:kinsoku/>
              <w:wordWrap/>
              <w:overflowPunct/>
              <w:topLinePunct w:val="0"/>
              <w:autoSpaceDE/>
              <w:autoSpaceDN/>
              <w:bidi w:val="0"/>
              <w:adjustRightInd/>
              <w:spacing w:before="49" w:beforeLines="0" w:afterLines="0" w:line="440" w:lineRule="exact"/>
              <w:ind w:left="0" w:leftChars="0" w:right="0" w:rightChars="0"/>
              <w:jc w:val="both"/>
              <w:textAlignment w:val="auto"/>
              <w:rPr>
                <w:rFonts w:hint="eastAsia" w:ascii="微软雅黑" w:hAnsi="微软雅黑" w:eastAsia="微软雅黑" w:cs="微软雅黑"/>
                <w:b w:val="0"/>
                <w:bCs w:val="0"/>
                <w:color w:val="000000"/>
                <w:sz w:val="21"/>
                <w:szCs w:val="21"/>
                <w:lang w:val="en-US" w:eastAsia="zh-CN" w:bidi="zh-CN"/>
              </w:rPr>
            </w:pPr>
            <w:r>
              <w:rPr>
                <w:rFonts w:hint="eastAsia" w:ascii="微软雅黑" w:hAnsi="微软雅黑" w:eastAsia="微软雅黑" w:cs="微软雅黑"/>
                <w:b w:val="0"/>
                <w:bCs w:val="0"/>
                <w:color w:val="000000"/>
                <w:kern w:val="2"/>
                <w:sz w:val="21"/>
                <w:szCs w:val="21"/>
                <w:lang w:eastAsia="zh-CN" w:bidi="ar-SA"/>
              </w:rPr>
              <w:t>灭火器</w:t>
            </w:r>
          </w:p>
        </w:tc>
        <w:tc>
          <w:tcPr>
            <w:tcW w:w="7668"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before="49" w:beforeLines="0" w:afterLines="0" w:line="440" w:lineRule="exact"/>
              <w:ind w:left="0" w:leftChars="0" w:right="0" w:rightChars="0"/>
              <w:jc w:val="both"/>
              <w:textAlignment w:val="auto"/>
              <w:rPr>
                <w:rFonts w:hint="eastAsia" w:ascii="微软雅黑" w:hAnsi="微软雅黑" w:eastAsia="微软雅黑" w:cs="微软雅黑"/>
                <w:color w:val="000000"/>
                <w:sz w:val="21"/>
                <w:szCs w:val="21"/>
                <w:lang w:val="en-US" w:eastAsia="zh-CN" w:bidi="zh-CN"/>
              </w:rPr>
            </w:pPr>
            <w:r>
              <w:rPr>
                <w:rFonts w:hint="eastAsia" w:ascii="微软雅黑" w:hAnsi="微软雅黑" w:eastAsia="微软雅黑" w:cs="微软雅黑"/>
                <w:color w:val="000000"/>
                <w:kern w:val="0"/>
                <w:sz w:val="21"/>
                <w:szCs w:val="21"/>
                <w:lang w:bidi="ar"/>
              </w:rPr>
              <w:t>医疗舱配置1KG灭火器及支架</w:t>
            </w:r>
            <w:r>
              <w:rPr>
                <w:rFonts w:hint="eastAsia" w:ascii="微软雅黑" w:hAnsi="微软雅黑" w:eastAsia="微软雅黑" w:cs="微软雅黑"/>
                <w:color w:val="000000"/>
                <w:kern w:val="0"/>
                <w:sz w:val="21"/>
                <w:szCs w:val="21"/>
                <w:lang w:eastAsia="zh-CN" w:bidi="ar"/>
              </w:rPr>
              <w:t>。</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0" w:type="dxa"/>
            <w:bottom w:w="0" w:type="dxa"/>
            <w:right w:w="0" w:type="dxa"/>
          </w:tblCellMar>
        </w:tblPrEx>
        <w:trPr>
          <w:gridBefore w:val="1"/>
          <w:wBefore w:w="5" w:type="dxa"/>
          <w:trHeight w:val="880" w:hRule="atLeast"/>
          <w:jc w:val="center"/>
        </w:trPr>
        <w:tc>
          <w:tcPr>
            <w:tcW w:w="2156" w:type="dxa"/>
            <w:gridSpan w:val="2"/>
            <w:tcBorders>
              <w:tl2br w:val="nil"/>
              <w:tr2bl w:val="nil"/>
            </w:tcBorders>
            <w:vAlign w:val="center"/>
          </w:tcPr>
          <w:p>
            <w:pPr>
              <w:keepNext w:val="0"/>
              <w:keepLines w:val="0"/>
              <w:pageBreakBefore w:val="0"/>
              <w:kinsoku/>
              <w:wordWrap/>
              <w:overflowPunct/>
              <w:topLinePunct w:val="0"/>
              <w:autoSpaceDE/>
              <w:autoSpaceDN/>
              <w:bidi w:val="0"/>
              <w:adjustRightInd/>
              <w:spacing w:before="49" w:beforeLines="0" w:afterLines="0" w:line="440" w:lineRule="exact"/>
              <w:ind w:left="0" w:leftChars="0" w:right="0" w:rightChars="0"/>
              <w:jc w:val="both"/>
              <w:textAlignment w:val="auto"/>
              <w:rPr>
                <w:rFonts w:hint="eastAsia" w:ascii="微软雅黑" w:hAnsi="微软雅黑" w:eastAsia="微软雅黑" w:cs="微软雅黑"/>
                <w:b w:val="0"/>
                <w:bCs w:val="0"/>
                <w:color w:val="000000"/>
                <w:kern w:val="2"/>
                <w:sz w:val="21"/>
                <w:szCs w:val="21"/>
                <w:lang w:eastAsia="zh-CN" w:bidi="ar-SA"/>
              </w:rPr>
            </w:pPr>
            <w:r>
              <w:rPr>
                <w:rFonts w:hint="eastAsia" w:cs="微软雅黑"/>
                <w:b w:val="0"/>
                <w:bCs w:val="0"/>
                <w:color w:val="000000"/>
                <w:kern w:val="2"/>
                <w:sz w:val="21"/>
                <w:szCs w:val="21"/>
                <w:lang w:eastAsia="zh-CN" w:bidi="ar-SA"/>
              </w:rPr>
              <w:t>紧急锤</w:t>
            </w:r>
          </w:p>
        </w:tc>
        <w:tc>
          <w:tcPr>
            <w:tcW w:w="7668" w:type="dxa"/>
            <w:gridSpan w:val="2"/>
            <w:tcBorders>
              <w:tl2br w:val="nil"/>
              <w:tr2bl w:val="nil"/>
            </w:tcBorders>
            <w:vAlign w:val="center"/>
          </w:tcPr>
          <w:p>
            <w:pPr>
              <w:keepNext w:val="0"/>
              <w:keepLines w:val="0"/>
              <w:widowControl/>
              <w:suppressLineNumbers w:val="0"/>
              <w:jc w:val="left"/>
              <w:rPr>
                <w:rFonts w:hint="eastAsia" w:ascii="微软雅黑" w:hAnsi="微软雅黑" w:eastAsia="微软雅黑" w:cs="微软雅黑"/>
                <w:color w:val="000000"/>
                <w:kern w:val="0"/>
                <w:sz w:val="21"/>
                <w:szCs w:val="21"/>
                <w:lang w:eastAsia="zh-CN" w:bidi="ar"/>
              </w:rPr>
            </w:pPr>
            <w:r>
              <w:rPr>
                <w:rFonts w:hint="eastAsia" w:cs="微软雅黑"/>
                <w:color w:val="000000"/>
                <w:kern w:val="0"/>
                <w:sz w:val="21"/>
                <w:szCs w:val="21"/>
                <w:lang w:eastAsia="zh-CN" w:bidi="ar"/>
              </w:rPr>
              <w:t>中隔断上方</w:t>
            </w:r>
            <w:r>
              <w:rPr>
                <w:rFonts w:ascii="微软雅黑" w:hAnsi="微软雅黑" w:eastAsia="微软雅黑" w:cs="微软雅黑"/>
                <w:color w:val="000000"/>
                <w:kern w:val="0"/>
                <w:sz w:val="21"/>
                <w:szCs w:val="21"/>
                <w:lang w:val="en-US" w:eastAsia="zh-CN" w:bidi="ar"/>
              </w:rPr>
              <w:t>安装1把紧急锤。</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0" w:type="dxa"/>
            <w:bottom w:w="0" w:type="dxa"/>
            <w:right w:w="0" w:type="dxa"/>
          </w:tblCellMar>
        </w:tblPrEx>
        <w:trPr>
          <w:gridBefore w:val="1"/>
          <w:wBefore w:w="5" w:type="dxa"/>
          <w:trHeight w:val="880" w:hRule="atLeast"/>
          <w:jc w:val="center"/>
        </w:trPr>
        <w:tc>
          <w:tcPr>
            <w:tcW w:w="2156" w:type="dxa"/>
            <w:gridSpan w:val="2"/>
            <w:tcBorders>
              <w:tl2br w:val="nil"/>
              <w:tr2bl w:val="nil"/>
            </w:tcBorders>
            <w:vAlign w:val="center"/>
          </w:tcPr>
          <w:p>
            <w:pPr>
              <w:keepNext w:val="0"/>
              <w:keepLines w:val="0"/>
              <w:pageBreakBefore w:val="0"/>
              <w:kinsoku/>
              <w:wordWrap/>
              <w:overflowPunct/>
              <w:topLinePunct w:val="0"/>
              <w:autoSpaceDE/>
              <w:autoSpaceDN/>
              <w:bidi w:val="0"/>
              <w:adjustRightInd/>
              <w:spacing w:before="49" w:beforeLines="0" w:afterLines="0" w:line="440" w:lineRule="exact"/>
              <w:ind w:left="0" w:leftChars="0" w:right="0" w:rightChars="0"/>
              <w:jc w:val="both"/>
              <w:textAlignment w:val="auto"/>
              <w:rPr>
                <w:rFonts w:hint="eastAsia" w:cs="微软雅黑"/>
                <w:b w:val="0"/>
                <w:bCs w:val="0"/>
                <w:color w:val="000000"/>
                <w:kern w:val="2"/>
                <w:sz w:val="21"/>
                <w:szCs w:val="21"/>
                <w:lang w:eastAsia="zh-CN" w:bidi="ar-SA"/>
              </w:rPr>
            </w:pPr>
            <w:r>
              <w:rPr>
                <w:rFonts w:hint="eastAsia" w:ascii="微软雅黑" w:hAnsi="微软雅黑" w:eastAsia="微软雅黑" w:cs="微软雅黑"/>
                <w:b/>
                <w:bCs/>
                <w:color w:val="auto"/>
                <w:sz w:val="21"/>
                <w:szCs w:val="21"/>
              </w:rPr>
              <w:t>负压系统</w:t>
            </w:r>
          </w:p>
        </w:tc>
        <w:tc>
          <w:tcPr>
            <w:tcW w:w="7668"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color w:val="auto"/>
              </w:rPr>
            </w:pPr>
            <w:r>
              <w:rPr>
                <w:rFonts w:hint="eastAsia" w:ascii="微软雅黑" w:hAnsi="微软雅黑" w:eastAsia="微软雅黑" w:cs="微软雅黑"/>
                <w:color w:val="auto"/>
              </w:rPr>
              <w:t>性能参数：</w:t>
            </w:r>
          </w:p>
          <w:p>
            <w:pPr>
              <w:keepNext w:val="0"/>
              <w:keepLines w:val="0"/>
              <w:pageBreakBefore w:val="0"/>
              <w:numPr>
                <w:ilvl w:val="0"/>
                <w:numId w:val="1"/>
              </w:numPr>
              <w:kinsoku/>
              <w:wordWrap/>
              <w:overflowPunct/>
              <w:topLinePunct w:val="0"/>
              <w:autoSpaceDE/>
              <w:autoSpaceDN/>
              <w:bidi w:val="0"/>
              <w:adjustRightInd/>
              <w:snapToGrid/>
              <w:spacing w:before="49" w:beforeLines="0" w:afterLines="0" w:line="440" w:lineRule="exact"/>
              <w:ind w:left="0" w:leftChars="0" w:right="0" w:rightChars="0"/>
              <w:jc w:val="both"/>
              <w:textAlignment w:val="auto"/>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相对压强：启动负压装置时，舱内相对压强在-90pa~--10pa(卫生部现行标准WS/T292-2008《救护车》，压强值可以动态调节。</w:t>
            </w:r>
          </w:p>
          <w:p>
            <w:pPr>
              <w:keepNext w:val="0"/>
              <w:keepLines w:val="0"/>
              <w:pageBreakBefore w:val="0"/>
              <w:numPr>
                <w:ilvl w:val="0"/>
                <w:numId w:val="1"/>
              </w:numPr>
              <w:kinsoku/>
              <w:wordWrap/>
              <w:overflowPunct/>
              <w:topLinePunct w:val="0"/>
              <w:autoSpaceDE/>
              <w:autoSpaceDN/>
              <w:bidi w:val="0"/>
              <w:adjustRightInd/>
              <w:snapToGrid/>
              <w:spacing w:before="49" w:beforeLines="0" w:afterLines="0" w:line="440" w:lineRule="exact"/>
              <w:ind w:left="0" w:leftChars="0" w:right="0" w:rightChars="0" w:firstLine="0" w:firstLineChars="0"/>
              <w:jc w:val="both"/>
              <w:textAlignment w:val="auto"/>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过滤效率：空气过滤器对粒子0.3µm微粒气溶胶滤出率大于99.7%。</w:t>
            </w:r>
          </w:p>
          <w:p>
            <w:pPr>
              <w:keepNext w:val="0"/>
              <w:keepLines w:val="0"/>
              <w:pageBreakBefore w:val="0"/>
              <w:numPr>
                <w:ilvl w:val="0"/>
                <w:numId w:val="1"/>
              </w:numPr>
              <w:kinsoku/>
              <w:wordWrap/>
              <w:overflowPunct/>
              <w:topLinePunct w:val="0"/>
              <w:autoSpaceDE/>
              <w:autoSpaceDN/>
              <w:bidi w:val="0"/>
              <w:adjustRightInd/>
              <w:snapToGrid/>
              <w:spacing w:before="49" w:beforeLines="0" w:afterLines="0" w:line="440" w:lineRule="exact"/>
              <w:ind w:left="0" w:leftChars="0" w:right="0" w:rightChars="0" w:firstLine="0" w:firstLineChars="0"/>
              <w:jc w:val="both"/>
              <w:textAlignment w:val="auto"/>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内置初效分子筛，中效活性炭过滤，以及高效过滤，符合GB/T14295-2008《空气过滤器》</w:t>
            </w:r>
          </w:p>
          <w:p>
            <w:pPr>
              <w:keepNext w:val="0"/>
              <w:keepLines w:val="0"/>
              <w:pageBreakBefore w:val="0"/>
              <w:numPr>
                <w:ilvl w:val="0"/>
                <w:numId w:val="1"/>
              </w:numPr>
              <w:kinsoku/>
              <w:wordWrap/>
              <w:overflowPunct/>
              <w:topLinePunct w:val="0"/>
              <w:autoSpaceDE/>
              <w:autoSpaceDN/>
              <w:bidi w:val="0"/>
              <w:adjustRightInd/>
              <w:snapToGrid/>
              <w:spacing w:before="49" w:beforeLines="0" w:afterLines="0" w:line="440" w:lineRule="exact"/>
              <w:ind w:left="0" w:leftChars="0" w:firstLine="0" w:firstLineChars="0"/>
              <w:jc w:val="left"/>
              <w:textAlignment w:val="auto"/>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产品所使用的高效过滤器玻纤滤纸展开面积为：4.2M²</w:t>
            </w:r>
          </w:p>
          <w:p>
            <w:pPr>
              <w:keepNext w:val="0"/>
              <w:keepLines w:val="0"/>
              <w:widowControl/>
              <w:suppressLineNumbers w:val="0"/>
              <w:jc w:val="left"/>
              <w:rPr>
                <w:rFonts w:hint="eastAsia" w:cs="微软雅黑"/>
                <w:color w:val="000000"/>
                <w:kern w:val="0"/>
                <w:sz w:val="21"/>
                <w:szCs w:val="21"/>
                <w:lang w:eastAsia="zh-CN" w:bidi="ar"/>
              </w:rPr>
            </w:pPr>
            <w:r>
              <w:rPr>
                <w:rFonts w:hint="eastAsia" w:ascii="微软雅黑" w:hAnsi="微软雅黑" w:eastAsia="微软雅黑" w:cs="微软雅黑"/>
                <w:color w:val="auto"/>
                <w:sz w:val="21"/>
                <w:szCs w:val="21"/>
                <w:lang w:eastAsia="zh-CN"/>
              </w:rPr>
              <w:t>（需提供检测证书）</w:t>
            </w:r>
          </w:p>
        </w:tc>
      </w:tr>
    </w:tbl>
    <w:p>
      <w:pPr>
        <w:rPr>
          <w:rFonts w:hint="eastAsia"/>
        </w:rPr>
      </w:pPr>
      <w:r>
        <w:rPr>
          <w:rFonts w:hint="eastAsia"/>
          <w:b/>
          <w:bCs/>
        </w:rPr>
        <w:t>整车基本要求</w:t>
      </w:r>
      <w:r>
        <w:rPr>
          <w:rFonts w:hint="eastAsia"/>
        </w:rPr>
        <w:t>：投标车型主要功能为转运、救治的专用救护车，设计要把握院前急救发展方向，具备前瞻性。基础车型满足操控性能好、动力强等要求，医疗舱整体要在功能和性能上具备一定的超前性，能够体现目前最新、最先进的技术理念，投标车型的改装需要采用先进的制造材料及工艺。</w:t>
      </w:r>
      <w:r>
        <w:rPr>
          <w:rFonts w:hint="eastAsia"/>
        </w:rPr>
        <w:tab/>
      </w:r>
    </w:p>
    <w:p>
      <w:pPr>
        <w:rPr>
          <w:rFonts w:hint="eastAsia"/>
        </w:rPr>
      </w:pPr>
      <w:r>
        <w:rPr>
          <w:rFonts w:hint="eastAsia"/>
          <w:b/>
          <w:bCs/>
        </w:rPr>
        <w:t>适应环境</w:t>
      </w:r>
      <w:r>
        <w:rPr>
          <w:rFonts w:hint="eastAsia"/>
        </w:rPr>
        <w:t>：投标车型应适应各种自然条件，适应户外长时期作业的需求，适合城市道路，社区通行及郊县崎岖道路，适应气温－35到60摄氏度之间。</w:t>
      </w:r>
      <w:r>
        <w:rPr>
          <w:rFonts w:hint="eastAsia"/>
        </w:rPr>
        <w:tab/>
      </w:r>
    </w:p>
    <w:p>
      <w:pPr>
        <w:widowControl/>
        <w:shd w:val="clear" w:color="auto" w:fill="FFFFFF"/>
        <w:ind w:firstLine="420" w:firstLineChars="200"/>
        <w:jc w:val="left"/>
        <w:rPr>
          <w:rFonts w:hint="eastAsia"/>
        </w:rPr>
      </w:pPr>
      <w:r>
        <w:rPr>
          <w:rFonts w:hint="eastAsia"/>
        </w:rPr>
        <w:t>产品公告：投标车型应具备国家发改委目录公告以及3C认证和环保，能在买方所在地公安交通管理部门办理特种车上牌照手续。</w:t>
      </w:r>
    </w:p>
    <w:p>
      <w:pPr>
        <w:widowControl/>
        <w:shd w:val="clear" w:color="auto" w:fill="FFFFFF"/>
        <w:ind w:firstLine="480" w:firstLineChars="200"/>
        <w:jc w:val="left"/>
        <w:rPr>
          <w:rFonts w:ascii="宋体" w:hAnsi="宋体" w:eastAsia="宋体" w:cs="宋体"/>
          <w:color w:val="000000"/>
          <w:kern w:val="0"/>
          <w:sz w:val="24"/>
        </w:rPr>
      </w:pPr>
      <w:bookmarkStart w:id="0" w:name="_GoBack"/>
      <w:bookmarkEnd w:id="0"/>
      <w:r>
        <w:rPr>
          <w:rFonts w:hint="eastAsia" w:ascii="宋体" w:hAnsi="宋体" w:eastAsia="宋体" w:cs="宋体"/>
          <w:color w:val="000000"/>
          <w:kern w:val="0"/>
          <w:sz w:val="24"/>
        </w:rPr>
        <w:t>三、</w:t>
      </w:r>
      <w:r>
        <w:rPr>
          <w:rFonts w:ascii="宋体" w:hAnsi="宋体" w:eastAsia="宋体" w:cs="宋体"/>
          <w:color w:val="000000"/>
          <w:kern w:val="0"/>
          <w:sz w:val="24"/>
        </w:rPr>
        <w:t xml:space="preserve">洽谈方法 </w:t>
      </w:r>
    </w:p>
    <w:p>
      <w:pPr>
        <w:widowControl/>
        <w:shd w:val="clear" w:color="auto" w:fill="FFFFFF"/>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 xml:space="preserve">1.总则 </w:t>
      </w:r>
    </w:p>
    <w:p>
      <w:pPr>
        <w:widowControl/>
        <w:shd w:val="clear" w:color="auto" w:fill="FFFFFF"/>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 xml:space="preserve">参照《中华人民共和国政府采购法》、《中华人民共和国政府采购法实施条 例》、《政府采购非招标采购方式管理办法》等法律制度，结合采购项目特点制定本洽谈办法。 </w:t>
      </w:r>
    </w:p>
    <w:p>
      <w:pPr>
        <w:widowControl/>
        <w:shd w:val="clear" w:color="auto" w:fill="FFFFFF"/>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1.1</w:t>
      </w:r>
      <w:r>
        <w:rPr>
          <w:rFonts w:ascii="宋体" w:hAnsi="宋体" w:eastAsia="宋体" w:cs="宋体"/>
          <w:color w:val="000000"/>
          <w:kern w:val="0"/>
          <w:sz w:val="24"/>
        </w:rPr>
        <w:t>洽谈工作由采购代理机构负责组织，具体谈判由采购代理机构依法组建的谈判小组负责。谈判小组由相关专家组成。</w:t>
      </w:r>
    </w:p>
    <w:p>
      <w:pPr>
        <w:widowControl/>
        <w:shd w:val="clear" w:color="auto" w:fill="FFFFFF"/>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 xml:space="preserve"> 1.</w:t>
      </w:r>
      <w:r>
        <w:rPr>
          <w:rFonts w:hint="eastAsia" w:ascii="宋体" w:hAnsi="宋体" w:eastAsia="宋体" w:cs="宋体"/>
          <w:color w:val="000000"/>
          <w:kern w:val="0"/>
          <w:sz w:val="24"/>
        </w:rPr>
        <w:t>2</w:t>
      </w:r>
      <w:r>
        <w:rPr>
          <w:rFonts w:ascii="宋体" w:hAnsi="宋体" w:eastAsia="宋体" w:cs="宋体"/>
          <w:color w:val="000000"/>
          <w:kern w:val="0"/>
          <w:sz w:val="24"/>
        </w:rPr>
        <w:t xml:space="preserve"> 谈判工作应遵循公平、公正、科学及择优的原则，并以相同的谈判程序和标</w:t>
      </w:r>
    </w:p>
    <w:p>
      <w:pPr>
        <w:widowControl/>
        <w:shd w:val="clear" w:color="auto" w:fill="FFFFFF"/>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 xml:space="preserve">准对待所有的供应商。 </w:t>
      </w:r>
    </w:p>
    <w:p>
      <w:pPr>
        <w:widowControl/>
        <w:shd w:val="clear" w:color="auto" w:fill="FFFFFF"/>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1.3</w:t>
      </w:r>
      <w:r>
        <w:rPr>
          <w:rFonts w:ascii="宋体" w:hAnsi="宋体" w:eastAsia="宋体" w:cs="宋体"/>
          <w:color w:val="000000"/>
          <w:kern w:val="0"/>
          <w:sz w:val="24"/>
        </w:rPr>
        <w:t>谈判小组按照谈判文件规定的谈判方法和标准进行谈判</w:t>
      </w:r>
    </w:p>
    <w:p>
      <w:pPr>
        <w:widowControl/>
        <w:shd w:val="clear" w:color="auto" w:fill="FFFFFF"/>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 xml:space="preserve">2.参照谈判程序 </w:t>
      </w:r>
    </w:p>
    <w:p>
      <w:pPr>
        <w:widowControl/>
        <w:shd w:val="clear" w:color="auto" w:fill="FFFFFF"/>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2.</w:t>
      </w:r>
      <w:r>
        <w:rPr>
          <w:rFonts w:hint="eastAsia" w:ascii="宋体" w:hAnsi="宋体" w:eastAsia="宋体" w:cs="宋体"/>
          <w:color w:val="000000"/>
          <w:kern w:val="0"/>
          <w:sz w:val="24"/>
        </w:rPr>
        <w:t>1</w:t>
      </w:r>
      <w:r>
        <w:rPr>
          <w:rFonts w:ascii="宋体" w:hAnsi="宋体" w:eastAsia="宋体" w:cs="宋体"/>
          <w:color w:val="000000"/>
          <w:kern w:val="0"/>
          <w:sz w:val="24"/>
        </w:rPr>
        <w:t xml:space="preserve"> 资格性审查。 </w:t>
      </w:r>
    </w:p>
    <w:p>
      <w:pPr>
        <w:widowControl/>
        <w:shd w:val="clear" w:color="auto" w:fill="FFFFFF"/>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 xml:space="preserve">本项目需要谈判小组进行资格性检查。 </w:t>
      </w:r>
    </w:p>
    <w:p>
      <w:pPr>
        <w:widowControl/>
        <w:shd w:val="clear" w:color="auto" w:fill="FFFFFF"/>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 xml:space="preserve">谈判小组应依据法律法规和谈判文件的规定，对响应文件是否按照规定要求提供资格性证明材料、是否属于禁止参加谈判的供应商等进行审查，以确定供应商是否具备谈判资格。 </w:t>
      </w:r>
    </w:p>
    <w:p>
      <w:pPr>
        <w:widowControl/>
        <w:shd w:val="clear" w:color="auto" w:fill="FFFFFF"/>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 xml:space="preserve">资格性审查结束后，谈判小组应当出具资格性审查报告，没有通过资格审查的供应商，谈判小组应当在资格审查报告中说明原因。 </w:t>
      </w:r>
    </w:p>
    <w:p>
      <w:pPr>
        <w:widowControl/>
        <w:shd w:val="clear" w:color="auto" w:fill="FFFFFF"/>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2.2</w:t>
      </w:r>
      <w:r>
        <w:rPr>
          <w:rFonts w:ascii="宋体" w:hAnsi="宋体" w:eastAsia="宋体" w:cs="宋体"/>
          <w:color w:val="000000"/>
          <w:kern w:val="0"/>
          <w:sz w:val="24"/>
        </w:rPr>
        <w:t xml:space="preserve">谈判小组应依据谈判文件规定的所有实质性要求，对符合资格的响应文件进行有效性、完整性和响应程度审查，以确定参加谈判的供应商名单。 </w:t>
      </w:r>
    </w:p>
    <w:p>
      <w:pPr>
        <w:widowControl/>
        <w:shd w:val="clear" w:color="auto" w:fill="FFFFFF"/>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2.3</w:t>
      </w:r>
      <w:r>
        <w:rPr>
          <w:rFonts w:ascii="宋体" w:hAnsi="宋体" w:eastAsia="宋体" w:cs="宋体"/>
          <w:color w:val="000000"/>
          <w:kern w:val="0"/>
          <w:sz w:val="24"/>
        </w:rPr>
        <w:t xml:space="preserve">采购代理机构宣布未通过资格性审查的供应商名单时，应当告知供应商未通过审查的原因。 </w:t>
      </w:r>
    </w:p>
    <w:p>
      <w:pPr>
        <w:widowControl/>
        <w:shd w:val="clear" w:color="auto" w:fill="FFFFFF"/>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2.4</w:t>
      </w:r>
      <w:r>
        <w:rPr>
          <w:rFonts w:ascii="宋体" w:hAnsi="宋体" w:eastAsia="宋体" w:cs="宋体"/>
          <w:color w:val="000000"/>
          <w:kern w:val="0"/>
          <w:sz w:val="24"/>
        </w:rPr>
        <w:t xml:space="preserve">通过资格性审查的供应商不足 3 家的，终止本次采购活动，并发布终止采购活动公告。 </w:t>
      </w:r>
    </w:p>
    <w:p>
      <w:pPr>
        <w:widowControl/>
        <w:shd w:val="clear" w:color="auto" w:fill="FFFFFF"/>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3.</w:t>
      </w:r>
      <w:r>
        <w:rPr>
          <w:rFonts w:ascii="宋体" w:hAnsi="宋体" w:eastAsia="宋体" w:cs="宋体"/>
          <w:color w:val="000000"/>
          <w:kern w:val="0"/>
          <w:sz w:val="24"/>
        </w:rPr>
        <w:t xml:space="preserve">谈判 </w:t>
      </w:r>
    </w:p>
    <w:p>
      <w:pPr>
        <w:widowControl/>
        <w:shd w:val="clear" w:color="auto" w:fill="FFFFFF"/>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3.1</w:t>
      </w:r>
      <w:r>
        <w:rPr>
          <w:rFonts w:ascii="宋体" w:hAnsi="宋体" w:eastAsia="宋体" w:cs="宋体"/>
          <w:color w:val="000000"/>
          <w:kern w:val="0"/>
          <w:sz w:val="24"/>
        </w:rPr>
        <w:t xml:space="preserve">谈判小组所有成员集中与单一供应商分别进行一轮或多轮谈判，并给予所有参加谈判的供应商平等的谈判机会。谈判顺序以现场抽签的方式确定。谈判过程中， 谈判小组可以根据谈判情况调整谈判轮次。 </w:t>
      </w:r>
    </w:p>
    <w:p>
      <w:pPr>
        <w:widowControl/>
        <w:shd w:val="clear" w:color="auto" w:fill="FFFFFF"/>
        <w:ind w:firstLine="480" w:firstLineChars="200"/>
        <w:jc w:val="left"/>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3.2</w:t>
      </w:r>
      <w:r>
        <w:rPr>
          <w:rFonts w:ascii="宋体" w:hAnsi="宋体" w:eastAsia="宋体" w:cs="宋体"/>
          <w:color w:val="000000"/>
          <w:kern w:val="0"/>
          <w:sz w:val="24"/>
        </w:rPr>
        <w:t>每轮谈判开始前，谈判小组应根据谈判文件的规定，并结合各供应商的响应文件拟定谈判内容</w:t>
      </w:r>
      <w:r>
        <w:rPr>
          <w:rFonts w:hint="eastAsia" w:ascii="宋体" w:hAnsi="宋体" w:eastAsia="宋体" w:cs="宋体"/>
          <w:color w:val="000000"/>
          <w:kern w:val="0"/>
          <w:sz w:val="24"/>
          <w:lang w:eastAsia="zh-CN"/>
        </w:rPr>
        <w:t>。</w:t>
      </w:r>
    </w:p>
    <w:p>
      <w:pPr>
        <w:pStyle w:val="2"/>
        <w:rPr>
          <w:rFonts w:hint="eastAsia" w:ascii="宋体" w:hAnsi="宋体" w:eastAsia="宋体" w:cs="宋体"/>
          <w:color w:val="000000"/>
          <w:kern w:val="0"/>
          <w:sz w:val="24"/>
          <w:lang w:eastAsia="zh-CN"/>
        </w:rPr>
      </w:pPr>
    </w:p>
    <w:p>
      <w:pPr>
        <w:pStyle w:val="2"/>
        <w:rPr>
          <w:rFonts w:hint="eastAsia" w:ascii="宋体" w:hAnsi="宋体" w:eastAsia="宋体" w:cs="宋体"/>
          <w:color w:val="000000"/>
          <w:kern w:val="0"/>
          <w:sz w:val="24"/>
          <w:lang w:eastAsia="zh-CN"/>
        </w:rPr>
      </w:pPr>
    </w:p>
    <w:p>
      <w:pPr>
        <w:pStyle w:val="2"/>
        <w:rPr>
          <w:rFonts w:hint="eastAsia" w:ascii="宋体" w:hAnsi="宋体" w:eastAsia="宋体" w:cs="宋体"/>
          <w:color w:val="000000"/>
          <w:kern w:val="0"/>
          <w:sz w:val="24"/>
          <w:lang w:eastAsia="zh-CN"/>
        </w:rPr>
      </w:pPr>
    </w:p>
    <w:p>
      <w:pPr>
        <w:pStyle w:val="2"/>
        <w:rPr>
          <w:rFonts w:hint="eastAsia" w:ascii="宋体" w:hAnsi="宋体" w:eastAsia="宋体" w:cs="宋体"/>
          <w:color w:val="000000"/>
          <w:kern w:val="0"/>
          <w:sz w:val="24"/>
          <w:lang w:eastAsia="zh-CN"/>
        </w:rPr>
      </w:pPr>
    </w:p>
    <w:p>
      <w:pPr>
        <w:pStyle w:val="2"/>
        <w:rPr>
          <w:rFonts w:hint="eastAsia" w:ascii="宋体" w:hAnsi="宋体" w:eastAsia="宋体" w:cs="宋体"/>
          <w:color w:val="000000"/>
          <w:kern w:val="0"/>
          <w:sz w:val="24"/>
          <w:lang w:eastAsia="zh-CN"/>
        </w:rPr>
      </w:pPr>
    </w:p>
    <w:p>
      <w:pPr>
        <w:pStyle w:val="2"/>
        <w:rPr>
          <w:rFonts w:hint="eastAsia" w:ascii="宋体" w:hAnsi="宋体" w:eastAsia="宋体" w:cs="宋体"/>
          <w:color w:val="000000"/>
          <w:kern w:val="0"/>
          <w:sz w:val="24"/>
          <w:lang w:eastAsia="zh-CN"/>
        </w:rPr>
      </w:pPr>
    </w:p>
    <w:p>
      <w:pPr>
        <w:pStyle w:val="2"/>
        <w:rPr>
          <w:rFonts w:hint="eastAsia" w:ascii="宋体" w:hAnsi="宋体" w:eastAsia="宋体" w:cs="宋体"/>
          <w:color w:val="000000"/>
          <w:kern w:val="0"/>
          <w:sz w:val="24"/>
          <w:lang w:eastAsia="zh-CN"/>
        </w:rPr>
      </w:pPr>
    </w:p>
    <w:p>
      <w:pPr>
        <w:pStyle w:val="2"/>
        <w:rPr>
          <w:rFonts w:hint="eastAsia" w:ascii="宋体" w:hAnsi="宋体" w:eastAsia="宋体" w:cs="宋体"/>
          <w:color w:val="000000"/>
          <w:kern w:val="0"/>
          <w:sz w:val="24"/>
          <w:lang w:eastAsia="zh-CN"/>
        </w:rPr>
      </w:pPr>
    </w:p>
    <w:p>
      <w:pPr>
        <w:pStyle w:val="2"/>
        <w:rPr>
          <w:rFonts w:hint="eastAsia" w:ascii="宋体" w:hAnsi="宋体" w:eastAsia="宋体" w:cs="宋体"/>
          <w:color w:val="000000"/>
          <w:kern w:val="0"/>
          <w:sz w:val="24"/>
          <w:lang w:eastAsia="zh-CN"/>
        </w:rPr>
      </w:pPr>
    </w:p>
    <w:p>
      <w:pPr>
        <w:pStyle w:val="2"/>
        <w:rPr>
          <w:rFonts w:hint="eastAsia" w:ascii="宋体" w:hAnsi="宋体" w:eastAsia="宋体" w:cs="宋体"/>
          <w:color w:val="000000"/>
          <w:kern w:val="0"/>
          <w:sz w:val="24"/>
          <w:lang w:eastAsia="zh-CN"/>
        </w:rPr>
      </w:pPr>
    </w:p>
    <w:p>
      <w:pPr>
        <w:pStyle w:val="2"/>
        <w:rPr>
          <w:rFonts w:hint="eastAsia" w:ascii="宋体" w:hAnsi="宋体" w:eastAsia="宋体" w:cs="宋体"/>
          <w:color w:val="000000"/>
          <w:kern w:val="0"/>
          <w:sz w:val="24"/>
          <w:lang w:eastAsia="zh-CN"/>
        </w:rPr>
      </w:pPr>
    </w:p>
    <w:p>
      <w:pPr>
        <w:pStyle w:val="2"/>
        <w:rPr>
          <w:rFonts w:hint="eastAsia" w:ascii="宋体" w:hAnsi="宋体" w:eastAsia="宋体" w:cs="宋体"/>
          <w:color w:val="000000"/>
          <w:kern w:val="0"/>
          <w:sz w:val="24"/>
          <w:lang w:eastAsia="zh-CN"/>
        </w:rPr>
      </w:pPr>
    </w:p>
    <w:p>
      <w:pPr>
        <w:pStyle w:val="2"/>
        <w:rPr>
          <w:rFonts w:hint="eastAsia" w:ascii="宋体" w:hAnsi="宋体" w:eastAsia="宋体" w:cs="宋体"/>
          <w:color w:val="000000"/>
          <w:kern w:val="0"/>
          <w:sz w:val="24"/>
          <w:lang w:eastAsia="zh-CN"/>
        </w:rPr>
      </w:pPr>
    </w:p>
    <w:p>
      <w:pPr>
        <w:pStyle w:val="2"/>
        <w:rPr>
          <w:rFonts w:hint="eastAsia" w:ascii="宋体" w:hAnsi="宋体" w:eastAsia="宋体" w:cs="宋体"/>
          <w:color w:val="000000"/>
          <w:kern w:val="0"/>
          <w:sz w:val="24"/>
          <w:lang w:eastAsia="zh-CN"/>
        </w:rPr>
      </w:pPr>
    </w:p>
    <w:p>
      <w:pPr>
        <w:pStyle w:val="2"/>
        <w:rPr>
          <w:rFonts w:hint="eastAsia" w:ascii="宋体" w:hAnsi="宋体" w:eastAsia="宋体" w:cs="宋体"/>
          <w:color w:val="000000"/>
          <w:kern w:val="0"/>
          <w:sz w:val="24"/>
          <w:lang w:eastAsia="zh-CN"/>
        </w:rPr>
        <w:sectPr>
          <w:pgSz w:w="11910" w:h="16840"/>
          <w:pgMar w:top="1400" w:right="640" w:bottom="1220" w:left="1000" w:header="0" w:footer="947" w:gutter="0"/>
          <w:cols w:space="720" w:num="1"/>
        </w:sectPr>
      </w:pPr>
    </w:p>
    <w:p>
      <w:pPr>
        <w:widowControl/>
        <w:shd w:val="clear" w:color="auto" w:fill="FFFFFF"/>
        <w:jc w:val="left"/>
        <w:rPr>
          <w:rFonts w:ascii="宋体" w:hAnsi="宋体" w:eastAsia="宋体" w:cs="宋体"/>
          <w:color w:val="000000"/>
          <w:kern w:val="0"/>
          <w:sz w:val="24"/>
        </w:rPr>
      </w:pPr>
      <w:r>
        <w:rPr>
          <w:rFonts w:hint="eastAsia" w:ascii="宋体" w:hAnsi="宋体" w:eastAsia="宋体" w:cs="宋体"/>
          <w:color w:val="000000"/>
          <w:kern w:val="0"/>
          <w:sz w:val="24"/>
        </w:rPr>
        <w:t>3.3</w:t>
      </w:r>
      <w:r>
        <w:rPr>
          <w:rFonts w:ascii="宋体" w:hAnsi="宋体" w:eastAsia="宋体" w:cs="宋体"/>
          <w:color w:val="000000"/>
          <w:kern w:val="0"/>
          <w:sz w:val="24"/>
        </w:rPr>
        <w:t xml:space="preserve">在谈判过程中，谈判小组可以根据谈判文件和谈判情况实质性变动谈判文件的技术、服务要求以及合同草案条款，但不得变动谈判文件中的其他内容。实质性变动的内容，须经采购人代表书面确认。 </w:t>
      </w:r>
    </w:p>
    <w:p>
      <w:pPr>
        <w:widowControl/>
        <w:shd w:val="clear" w:color="auto" w:fill="FFFFFF"/>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3.4</w:t>
      </w:r>
      <w:r>
        <w:rPr>
          <w:rFonts w:ascii="宋体" w:hAnsi="宋体" w:eastAsia="宋体" w:cs="宋体"/>
          <w:color w:val="000000"/>
          <w:kern w:val="0"/>
          <w:sz w:val="24"/>
        </w:rPr>
        <w:t xml:space="preserve">对谈判文件作出的实质性变动是谈判文件的有效组成部分，谈判小组应当及时以书面形式同时通知所有参加谈判的供应商。 </w:t>
      </w:r>
    </w:p>
    <w:p>
      <w:pPr>
        <w:widowControl/>
        <w:shd w:val="clear" w:color="auto" w:fill="FFFFFF"/>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3.5</w:t>
      </w:r>
      <w:r>
        <w:rPr>
          <w:rFonts w:ascii="宋体" w:hAnsi="宋体" w:eastAsia="宋体" w:cs="宋体"/>
          <w:color w:val="000000"/>
          <w:kern w:val="0"/>
          <w:sz w:val="24"/>
        </w:rPr>
        <w:t xml:space="preserve">谈判过程中，谈判文件变动的，供应商应当按照谈判文件的变动情况和谈判小组的要求重新提交响应文件，并由其主要负责人签字或者加盖公章。谈判过程中， 供应商根据谈判情况自行决定变更其响应文件的，谈判小组不得拒绝，并应当给予供应商必要的时间，但是供应商变更其响应文件，应当以有利于满足谈判文件要求为原则，不得变更为不利于满足谈判文件规定，否则，其响应文件作为无效处理。 </w:t>
      </w:r>
    </w:p>
    <w:p>
      <w:pPr>
        <w:widowControl/>
        <w:shd w:val="clear" w:color="auto" w:fill="FFFFFF"/>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3.6</w:t>
      </w:r>
      <w:r>
        <w:rPr>
          <w:rFonts w:ascii="宋体" w:hAnsi="宋体" w:eastAsia="宋体" w:cs="宋体"/>
          <w:color w:val="000000"/>
          <w:kern w:val="0"/>
          <w:sz w:val="24"/>
        </w:rPr>
        <w:t xml:space="preserve">谈判过程中，谈判的任何一方不得透露与谈判有关的其他供应商的技术资料、价格和其他信息。 </w:t>
      </w:r>
    </w:p>
    <w:p>
      <w:pPr>
        <w:widowControl/>
        <w:shd w:val="clear" w:color="auto" w:fill="FFFFFF"/>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 xml:space="preserve">谈判过程中，谈判小组发现或者知晓供应商存在违法、违纪行为的，谈判小组应当将该供应商淘汰，不允许其提交最后报价。 </w:t>
      </w:r>
    </w:p>
    <w:p>
      <w:pPr>
        <w:widowControl/>
        <w:shd w:val="clear" w:color="auto" w:fill="FFFFFF"/>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 xml:space="preserve">谈判完成后，谈判小组应出具谈判情况记录表，谈判情况记录表需包含谈判内容、谈判意见、实质性变动内容等。 </w:t>
      </w:r>
    </w:p>
    <w:p>
      <w:pPr>
        <w:widowControl/>
        <w:shd w:val="clear" w:color="auto" w:fill="FFFFFF"/>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4.</w:t>
      </w:r>
      <w:r>
        <w:rPr>
          <w:rFonts w:ascii="宋体" w:hAnsi="宋体" w:eastAsia="宋体" w:cs="宋体"/>
          <w:color w:val="000000"/>
          <w:kern w:val="0"/>
          <w:sz w:val="24"/>
        </w:rPr>
        <w:t xml:space="preserve">最后报价。 </w:t>
      </w:r>
    </w:p>
    <w:p>
      <w:pPr>
        <w:widowControl/>
        <w:shd w:val="clear" w:color="auto" w:fill="FFFFFF"/>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 xml:space="preserve">谈判文件能够详细列明采购标的的技术、服务要求的，谈判结束后，谈判小组应当要求所有实质性响应的供应商在规定时间内提交最后报价，提交最后报价的供应商不得少于 3 家。或谈判文件不能详细列明采购标的的技术、服务要求，需经谈判由供应商提供最终设计方案或解决方案的，谈判结束后，谈判小组应当按照少数服从多数的原则投票推荐 3 家供应商的设计方案或者解决方案，并要求其在规定时间内提交最后报价。 </w:t>
      </w:r>
    </w:p>
    <w:p>
      <w:pPr>
        <w:widowControl/>
        <w:shd w:val="clear" w:color="auto" w:fill="FFFFFF"/>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 xml:space="preserve">谈判结束后，谈判小组应当要求所有实质性响应的供应商在规定时间内提交最后报价。两轮（若有）以上报价的，供应商在未提高响应文件中承诺的产品及其服务质量的情况下，其最后报价不得高于对该项目之前的报价，否则，谈判小组应当对其响应文件按无效处理，并书面告知供应商，说明理由。 </w:t>
      </w:r>
    </w:p>
    <w:p>
      <w:pPr>
        <w:widowControl/>
        <w:shd w:val="clear" w:color="auto" w:fill="FFFFFF"/>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 xml:space="preserve">供应商最后报价应当由主要负责人签字确认或加盖公章。最后报价是供应商响应文件的有效组成部分。 </w:t>
      </w:r>
    </w:p>
    <w:p>
      <w:pPr>
        <w:widowControl/>
        <w:shd w:val="clear" w:color="auto" w:fill="FFFFFF"/>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最后报价中的算术错误将按以下方法修正：响应文件的大写金额和小写金</w:t>
      </w:r>
    </w:p>
    <w:p>
      <w:pPr>
        <w:widowControl/>
        <w:shd w:val="clear" w:color="auto" w:fill="FFFFFF"/>
        <w:ind w:firstLine="480" w:firstLineChars="200"/>
        <w:jc w:val="left"/>
        <w:rPr>
          <w:rFonts w:ascii="宋体" w:hAnsi="宋体" w:eastAsia="宋体" w:cs="宋体"/>
          <w:color w:val="000000"/>
          <w:kern w:val="0"/>
          <w:sz w:val="24"/>
        </w:rPr>
        <w:sectPr>
          <w:pgSz w:w="11910" w:h="16840"/>
          <w:pgMar w:top="1400" w:right="640" w:bottom="1220" w:left="1000" w:header="0" w:footer="947" w:gutter="0"/>
          <w:cols w:space="720" w:num="1"/>
        </w:sectPr>
      </w:pPr>
    </w:p>
    <w:p>
      <w:pPr>
        <w:widowControl/>
        <w:shd w:val="clear" w:color="auto" w:fill="FFFFFF"/>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 xml:space="preserve">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 </w:t>
      </w:r>
    </w:p>
    <w:p>
      <w:pPr>
        <w:widowControl/>
        <w:shd w:val="clear" w:color="auto" w:fill="FFFFFF"/>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 xml:space="preserve">谈判小组复核。供应商最后报价结束后，谈判小组应当进行谈判复核，对拟推荐为成交候选供应商的、报价最低的、供应商资格审查未通过的、供应商响应文件作无效处理的重点复核。 </w:t>
      </w:r>
    </w:p>
    <w:p>
      <w:pPr>
        <w:widowControl/>
        <w:shd w:val="clear" w:color="auto" w:fill="FFFFFF"/>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5.</w:t>
      </w:r>
      <w:r>
        <w:rPr>
          <w:rFonts w:ascii="宋体" w:hAnsi="宋体" w:eastAsia="宋体" w:cs="宋体"/>
          <w:color w:val="000000"/>
          <w:kern w:val="0"/>
          <w:sz w:val="24"/>
        </w:rPr>
        <w:t xml:space="preserve">推荐成交候选供应商。谈判小组复核后，应当按照供应商的报价由低到高顺序推荐 3 家成交候选供应商，并编写谈判报告。供应商报价相同的，成交候选供应商并列，由采购人自主采取公平择优的方式选择成交供应商。 </w:t>
      </w:r>
    </w:p>
    <w:p>
      <w:pPr>
        <w:widowControl/>
        <w:shd w:val="clear" w:color="auto" w:fill="FFFFFF"/>
        <w:ind w:firstLine="480" w:firstLineChars="200"/>
        <w:jc w:val="left"/>
        <w:rPr>
          <w:rFonts w:ascii="宋体" w:hAnsi="宋体" w:eastAsia="宋体" w:cs="宋体"/>
          <w:color w:val="000000"/>
          <w:kern w:val="0"/>
          <w:sz w:val="24"/>
        </w:rPr>
      </w:pPr>
    </w:p>
    <w:p>
      <w:pPr>
        <w:widowControl/>
        <w:shd w:val="clear" w:color="auto" w:fill="FFFFFF"/>
        <w:ind w:firstLine="480" w:firstLineChars="200"/>
        <w:jc w:val="left"/>
        <w:rPr>
          <w:rFonts w:ascii="宋体" w:hAnsi="宋体" w:eastAsia="宋体" w:cs="宋体"/>
          <w:color w:val="000000"/>
          <w:kern w:val="0"/>
          <w:sz w:val="24"/>
        </w:rPr>
      </w:pPr>
    </w:p>
    <w:p>
      <w:pPr>
        <w:widowControl/>
        <w:shd w:val="clear" w:color="auto" w:fill="FFFFFF"/>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四、</w:t>
      </w:r>
      <w:r>
        <w:rPr>
          <w:rFonts w:ascii="宋体" w:hAnsi="宋体" w:eastAsia="宋体" w:cs="宋体"/>
          <w:color w:val="000000"/>
          <w:kern w:val="0"/>
          <w:sz w:val="24"/>
        </w:rPr>
        <w:t xml:space="preserve">供应商参加本次采购活动应具备下列条件： </w:t>
      </w:r>
    </w:p>
    <w:p>
      <w:pPr>
        <w:widowControl/>
        <w:shd w:val="clear" w:color="auto" w:fill="FFFFFF"/>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 xml:space="preserve">1、具有独立承担民事责任的能力； </w:t>
      </w:r>
    </w:p>
    <w:p>
      <w:pPr>
        <w:widowControl/>
        <w:shd w:val="clear" w:color="auto" w:fill="FFFFFF"/>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 xml:space="preserve">2、具有良好的商业信誉和健全的财务会计制度； </w:t>
      </w:r>
    </w:p>
    <w:p>
      <w:pPr>
        <w:widowControl/>
        <w:shd w:val="clear" w:color="auto" w:fill="FFFFFF"/>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 xml:space="preserve">3、具有履行合同所必须的设备和专业技术能力； </w:t>
      </w:r>
    </w:p>
    <w:p>
      <w:pPr>
        <w:widowControl/>
        <w:shd w:val="clear" w:color="auto" w:fill="FFFFFF"/>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 xml:space="preserve">4、具有依法缴纳税收和社会保障资金的良好记录； </w:t>
      </w:r>
    </w:p>
    <w:p>
      <w:pPr>
        <w:widowControl/>
        <w:shd w:val="clear" w:color="auto" w:fill="FFFFFF"/>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 xml:space="preserve">5、参加本次采购活动前三年内，在经营活动中没有重大违法记录； </w:t>
      </w:r>
    </w:p>
    <w:p>
      <w:pPr>
        <w:widowControl/>
        <w:shd w:val="clear" w:color="auto" w:fill="FFFFFF"/>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 xml:space="preserve">6、法律、行政法规规定的其他条件； </w:t>
      </w:r>
    </w:p>
    <w:p>
      <w:pPr>
        <w:widowControl/>
        <w:shd w:val="clear" w:color="auto" w:fill="FFFFFF"/>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 xml:space="preserve">五.评标费用 </w:t>
      </w:r>
    </w:p>
    <w:p>
      <w:pPr>
        <w:widowControl/>
        <w:shd w:val="clear" w:color="auto" w:fill="FFFFFF"/>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由中标供应商承担参加评标活动的全部费用（专家评标费用、代理机构费用）。参照计价格[2002]1980 号文及发改办价格[2003]857 号通知规定</w:t>
      </w:r>
    </w:p>
    <w:p>
      <w:pPr>
        <w:widowControl/>
        <w:shd w:val="clear" w:color="auto" w:fill="FFFFFF"/>
        <w:ind w:firstLine="480" w:firstLineChars="200"/>
        <w:jc w:val="left"/>
        <w:rPr>
          <w:rFonts w:ascii="宋体" w:hAnsi="宋体" w:eastAsia="宋体" w:cs="宋体"/>
          <w:color w:val="000000"/>
          <w:kern w:val="0"/>
          <w:sz w:val="24"/>
        </w:rPr>
      </w:pPr>
    </w:p>
    <w:p>
      <w:pPr>
        <w:pStyle w:val="5"/>
        <w:widowControl/>
        <w:shd w:val="clear" w:color="auto" w:fill="FFFFFF"/>
        <w:spacing w:beforeAutospacing="0" w:afterAutospacing="0"/>
        <w:textAlignment w:val="baseline"/>
        <w:rPr>
          <w:rFonts w:ascii="宋体" w:hAnsi="宋体" w:eastAsia="宋体" w:cs="宋体"/>
          <w:color w:val="000000"/>
        </w:rPr>
      </w:pPr>
      <w:r>
        <w:rPr>
          <w:rFonts w:hint="eastAsia" w:ascii="宋体" w:hAnsi="宋体" w:eastAsia="宋体" w:cs="宋体"/>
          <w:color w:val="333333"/>
          <w:shd w:val="clear" w:color="auto" w:fill="FFFFFF"/>
        </w:rPr>
        <w:t>  </w:t>
      </w:r>
      <w:r>
        <w:rPr>
          <w:rFonts w:ascii="宋体" w:hAnsi="宋体" w:eastAsia="宋体" w:cs="宋体"/>
          <w:color w:val="000000"/>
        </w:rPr>
        <w:t>      </w:t>
      </w:r>
      <w:r>
        <w:rPr>
          <w:rFonts w:hint="eastAsia" w:ascii="宋体" w:hAnsi="宋体" w:eastAsia="宋体" w:cs="宋体"/>
          <w:color w:val="000000"/>
        </w:rPr>
        <w:t>　　　　　　</w:t>
      </w:r>
    </w:p>
    <w:p>
      <w:pPr>
        <w:widowControl/>
        <w:shd w:val="clear" w:color="auto" w:fill="FFFFFF"/>
        <w:jc w:val="left"/>
        <w:rPr>
          <w:rFonts w:ascii="宋体" w:hAnsi="宋体" w:eastAsia="宋体" w:cs="宋体"/>
          <w:color w:val="000000"/>
          <w:kern w:val="0"/>
          <w:sz w:val="24"/>
        </w:rPr>
      </w:pPr>
      <w:r>
        <w:rPr>
          <w:rFonts w:hint="eastAsia" w:ascii="宋体" w:hAnsi="宋体" w:eastAsia="宋体" w:cs="宋体"/>
          <w:color w:val="000000"/>
          <w:kern w:val="0"/>
          <w:sz w:val="24"/>
        </w:rPr>
        <w:t>六、报名时间：　　</w:t>
      </w:r>
    </w:p>
    <w:p>
      <w:pPr>
        <w:widowControl/>
        <w:shd w:val="clear" w:color="auto" w:fill="FFFFFF"/>
        <w:jc w:val="left"/>
        <w:rPr>
          <w:rFonts w:ascii="宋体" w:hAnsi="宋体" w:eastAsia="宋体" w:cs="宋体"/>
          <w:color w:val="000000"/>
          <w:kern w:val="0"/>
          <w:sz w:val="24"/>
        </w:rPr>
      </w:pPr>
      <w:r>
        <w:rPr>
          <w:rFonts w:hint="eastAsia" w:ascii="宋体" w:hAnsi="宋体" w:eastAsia="宋体" w:cs="宋体"/>
          <w:color w:val="000000"/>
          <w:kern w:val="0"/>
          <w:sz w:val="24"/>
        </w:rPr>
        <w:t xml:space="preserve">  </w:t>
      </w:r>
      <w:r>
        <w:rPr>
          <w:rFonts w:ascii="宋体" w:hAnsi="宋体" w:eastAsia="宋体" w:cs="宋体"/>
          <w:color w:val="000000"/>
          <w:kern w:val="0"/>
          <w:sz w:val="24"/>
        </w:rPr>
        <w:t>202</w:t>
      </w:r>
      <w:r>
        <w:rPr>
          <w:rFonts w:hint="eastAsia" w:ascii="宋体" w:hAnsi="宋体" w:eastAsia="宋体" w:cs="宋体"/>
          <w:color w:val="000000"/>
          <w:kern w:val="0"/>
          <w:sz w:val="24"/>
        </w:rPr>
        <w:t>2年4月1</w:t>
      </w:r>
      <w:r>
        <w:rPr>
          <w:rFonts w:hint="eastAsia" w:ascii="宋体" w:hAnsi="宋体" w:eastAsia="宋体" w:cs="宋体"/>
          <w:color w:val="000000"/>
          <w:kern w:val="0"/>
          <w:sz w:val="24"/>
          <w:lang w:val="en-US" w:eastAsia="zh-CN"/>
        </w:rPr>
        <w:t>4</w:t>
      </w:r>
      <w:r>
        <w:rPr>
          <w:rFonts w:hint="eastAsia" w:ascii="宋体" w:hAnsi="宋体" w:eastAsia="宋体" w:cs="宋体"/>
          <w:color w:val="000000"/>
          <w:kern w:val="0"/>
          <w:sz w:val="24"/>
        </w:rPr>
        <w:t>日—</w:t>
      </w:r>
      <w:r>
        <w:rPr>
          <w:rFonts w:ascii="宋体" w:hAnsi="宋体" w:eastAsia="宋体" w:cs="宋体"/>
          <w:color w:val="000000"/>
          <w:kern w:val="0"/>
          <w:sz w:val="24"/>
        </w:rPr>
        <w:t>202</w:t>
      </w:r>
      <w:r>
        <w:rPr>
          <w:rFonts w:hint="eastAsia" w:ascii="宋体" w:hAnsi="宋体" w:eastAsia="宋体" w:cs="宋体"/>
          <w:color w:val="000000"/>
          <w:kern w:val="0"/>
          <w:sz w:val="24"/>
        </w:rPr>
        <w:t>2年4月1</w:t>
      </w:r>
      <w:r>
        <w:rPr>
          <w:rFonts w:hint="eastAsia" w:ascii="宋体" w:hAnsi="宋体" w:eastAsia="宋体" w:cs="宋体"/>
          <w:color w:val="000000"/>
          <w:kern w:val="0"/>
          <w:sz w:val="24"/>
          <w:lang w:val="en-US" w:eastAsia="zh-CN"/>
        </w:rPr>
        <w:t>8</w:t>
      </w:r>
      <w:r>
        <w:rPr>
          <w:rFonts w:hint="eastAsia" w:ascii="宋体" w:hAnsi="宋体" w:eastAsia="宋体" w:cs="宋体"/>
          <w:color w:val="000000"/>
          <w:kern w:val="0"/>
          <w:sz w:val="24"/>
        </w:rPr>
        <w:t>日12</w:t>
      </w:r>
      <w:r>
        <w:rPr>
          <w:rFonts w:ascii="宋体" w:hAnsi="宋体" w:eastAsia="宋体" w:cs="宋体"/>
          <w:color w:val="000000"/>
          <w:kern w:val="0"/>
          <w:sz w:val="24"/>
        </w:rPr>
        <w:t>:</w:t>
      </w:r>
      <w:r>
        <w:rPr>
          <w:rFonts w:hint="eastAsia" w:ascii="宋体" w:hAnsi="宋体" w:eastAsia="宋体" w:cs="宋体"/>
          <w:color w:val="000000"/>
          <w:kern w:val="0"/>
          <w:sz w:val="24"/>
        </w:rPr>
        <w:t>00止　。　　　　　</w:t>
      </w:r>
    </w:p>
    <w:p>
      <w:pPr>
        <w:widowControl/>
        <w:shd w:val="clear" w:color="auto" w:fill="FFFFFF"/>
        <w:jc w:val="left"/>
        <w:rPr>
          <w:rFonts w:ascii="宋体" w:hAnsi="宋体" w:eastAsia="宋体" w:cs="宋体"/>
          <w:color w:val="000000"/>
          <w:kern w:val="0"/>
          <w:sz w:val="24"/>
        </w:rPr>
      </w:pPr>
      <w:r>
        <w:rPr>
          <w:rFonts w:hint="eastAsia" w:ascii="宋体" w:hAnsi="宋体" w:eastAsia="宋体" w:cs="宋体"/>
          <w:color w:val="000000"/>
          <w:kern w:val="0"/>
          <w:sz w:val="24"/>
        </w:rPr>
        <w:t>六、投标时间：　　</w:t>
      </w:r>
    </w:p>
    <w:p>
      <w:pPr>
        <w:widowControl/>
        <w:shd w:val="clear" w:color="auto" w:fill="FFFFFF"/>
        <w:jc w:val="left"/>
        <w:rPr>
          <w:rFonts w:ascii="宋体" w:hAnsi="宋体" w:eastAsia="宋体" w:cs="宋体"/>
          <w:color w:val="000000"/>
          <w:kern w:val="0"/>
          <w:sz w:val="24"/>
        </w:rPr>
      </w:pPr>
      <w:r>
        <w:rPr>
          <w:rFonts w:hint="eastAsia" w:ascii="宋体" w:hAnsi="宋体" w:eastAsia="宋体" w:cs="宋体"/>
          <w:color w:val="000000"/>
          <w:kern w:val="0"/>
          <w:sz w:val="24"/>
        </w:rPr>
        <w:t xml:space="preserve">  </w:t>
      </w:r>
      <w:r>
        <w:rPr>
          <w:rFonts w:ascii="宋体" w:hAnsi="宋体" w:eastAsia="宋体" w:cs="宋体"/>
          <w:color w:val="000000"/>
          <w:kern w:val="0"/>
          <w:sz w:val="24"/>
        </w:rPr>
        <w:t>202</w:t>
      </w:r>
      <w:r>
        <w:rPr>
          <w:rFonts w:hint="eastAsia" w:ascii="宋体" w:hAnsi="宋体" w:eastAsia="宋体" w:cs="宋体"/>
          <w:color w:val="000000"/>
          <w:kern w:val="0"/>
          <w:sz w:val="24"/>
        </w:rPr>
        <w:t>2年4月1</w:t>
      </w:r>
      <w:r>
        <w:rPr>
          <w:rFonts w:hint="eastAsia" w:ascii="宋体" w:hAnsi="宋体" w:eastAsia="宋体" w:cs="宋体"/>
          <w:color w:val="000000"/>
          <w:kern w:val="0"/>
          <w:sz w:val="24"/>
          <w:lang w:val="en-US" w:eastAsia="zh-CN"/>
        </w:rPr>
        <w:t>8</w:t>
      </w:r>
      <w:r>
        <w:rPr>
          <w:rFonts w:hint="eastAsia" w:ascii="宋体" w:hAnsi="宋体" w:eastAsia="宋体" w:cs="宋体"/>
          <w:color w:val="000000"/>
          <w:kern w:val="0"/>
          <w:sz w:val="24"/>
        </w:rPr>
        <w:t>日14：30整（请各商家准时参加投标会，标书逾时未投递的我院将视为自动放弃投标）　　　　　　</w:t>
      </w:r>
    </w:p>
    <w:p>
      <w:pPr>
        <w:widowControl/>
        <w:shd w:val="clear" w:color="auto" w:fill="FFFFFF"/>
        <w:jc w:val="left"/>
        <w:rPr>
          <w:rFonts w:ascii="宋体" w:hAnsi="宋体" w:eastAsia="宋体" w:cs="宋体"/>
          <w:color w:val="000000"/>
          <w:kern w:val="0"/>
          <w:sz w:val="24"/>
        </w:rPr>
      </w:pPr>
      <w:r>
        <w:rPr>
          <w:rFonts w:hint="eastAsia" w:ascii="宋体" w:hAnsi="宋体" w:eastAsia="宋体" w:cs="宋体"/>
          <w:color w:val="000000"/>
          <w:kern w:val="0"/>
          <w:sz w:val="24"/>
        </w:rPr>
        <w:t>七、开标时间：　　</w:t>
      </w:r>
    </w:p>
    <w:p>
      <w:pPr>
        <w:widowControl/>
        <w:shd w:val="clear" w:color="auto" w:fill="FFFFFF"/>
        <w:jc w:val="left"/>
        <w:rPr>
          <w:rFonts w:ascii="宋体" w:hAnsi="宋体" w:eastAsia="宋体" w:cs="宋体"/>
          <w:color w:val="000000"/>
          <w:kern w:val="0"/>
          <w:sz w:val="24"/>
        </w:rPr>
      </w:pPr>
      <w:r>
        <w:rPr>
          <w:rFonts w:hint="eastAsia" w:ascii="宋体" w:hAnsi="宋体" w:eastAsia="宋体" w:cs="宋体"/>
          <w:color w:val="000000"/>
          <w:kern w:val="0"/>
          <w:sz w:val="24"/>
        </w:rPr>
        <w:t xml:space="preserve">  </w:t>
      </w:r>
      <w:r>
        <w:rPr>
          <w:rFonts w:ascii="宋体" w:hAnsi="宋体" w:eastAsia="宋体" w:cs="宋体"/>
          <w:color w:val="000000"/>
          <w:kern w:val="0"/>
          <w:sz w:val="24"/>
        </w:rPr>
        <w:t>202</w:t>
      </w:r>
      <w:r>
        <w:rPr>
          <w:rFonts w:hint="eastAsia" w:ascii="宋体" w:hAnsi="宋体" w:eastAsia="宋体" w:cs="宋体"/>
          <w:color w:val="000000"/>
          <w:kern w:val="0"/>
          <w:sz w:val="24"/>
        </w:rPr>
        <w:t>2年4月1</w:t>
      </w:r>
      <w:r>
        <w:rPr>
          <w:rFonts w:hint="eastAsia" w:ascii="宋体" w:hAnsi="宋体" w:eastAsia="宋体" w:cs="宋体"/>
          <w:color w:val="000000"/>
          <w:kern w:val="0"/>
          <w:sz w:val="24"/>
          <w:lang w:val="en-US" w:eastAsia="zh-CN"/>
        </w:rPr>
        <w:t>8</w:t>
      </w:r>
      <w:r>
        <w:rPr>
          <w:rFonts w:hint="eastAsia" w:ascii="宋体" w:hAnsi="宋体" w:eastAsia="宋体" w:cs="宋体"/>
          <w:color w:val="000000"/>
          <w:kern w:val="0"/>
          <w:sz w:val="24"/>
        </w:rPr>
        <w:t>日14：35整　</w:t>
      </w:r>
    </w:p>
    <w:p>
      <w:pPr>
        <w:widowControl/>
        <w:shd w:val="clear" w:color="auto" w:fill="FFFFFF"/>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　　　　　</w:t>
      </w:r>
    </w:p>
    <w:p>
      <w:pPr>
        <w:widowControl/>
        <w:shd w:val="clear" w:color="auto" w:fill="FFFFFF"/>
        <w:jc w:val="left"/>
        <w:rPr>
          <w:rFonts w:ascii="宋体" w:hAnsi="宋体" w:eastAsia="宋体" w:cs="宋体"/>
          <w:color w:val="000000"/>
          <w:kern w:val="0"/>
          <w:sz w:val="24"/>
        </w:rPr>
      </w:pPr>
      <w:r>
        <w:rPr>
          <w:rFonts w:hint="eastAsia" w:ascii="宋体" w:hAnsi="宋体" w:eastAsia="宋体" w:cs="宋体"/>
          <w:color w:val="000000"/>
          <w:kern w:val="0"/>
          <w:sz w:val="24"/>
        </w:rPr>
        <w:t>八、投（开）标地点：　　</w:t>
      </w:r>
    </w:p>
    <w:p>
      <w:pPr>
        <w:widowControl/>
        <w:shd w:val="clear" w:color="auto" w:fill="FFFFFF"/>
        <w:jc w:val="left"/>
        <w:rPr>
          <w:rFonts w:ascii="宋体" w:hAnsi="宋体" w:eastAsia="宋体" w:cs="宋体"/>
          <w:color w:val="000000"/>
          <w:kern w:val="0"/>
          <w:sz w:val="24"/>
        </w:rPr>
      </w:pPr>
      <w:r>
        <w:rPr>
          <w:rFonts w:hint="eastAsia" w:ascii="宋体" w:hAnsi="宋体" w:eastAsia="宋体" w:cs="宋体"/>
          <w:color w:val="000000"/>
          <w:kern w:val="0"/>
          <w:sz w:val="24"/>
        </w:rPr>
        <w:t>  四川省宜宾市南溪区</w:t>
      </w:r>
      <w:r>
        <w:rPr>
          <w:rFonts w:hint="eastAsia" w:ascii="宋体" w:hAnsi="宋体" w:eastAsia="宋体" w:cs="宋体"/>
          <w:color w:val="000000"/>
          <w:kern w:val="0"/>
          <w:sz w:val="24"/>
          <w:lang w:eastAsia="zh-CN"/>
        </w:rPr>
        <w:t>大观镇中心路</w:t>
      </w:r>
      <w:r>
        <w:rPr>
          <w:rFonts w:hint="eastAsia" w:ascii="宋体" w:hAnsi="宋体" w:eastAsia="宋体" w:cs="宋体"/>
          <w:color w:val="000000"/>
          <w:kern w:val="0"/>
          <w:sz w:val="24"/>
          <w:lang w:val="en-US" w:eastAsia="zh-CN"/>
        </w:rPr>
        <w:t>165号，南溪区大观镇中心卫生院行政楼三楼会议室</w:t>
      </w:r>
      <w:r>
        <w:rPr>
          <w:rFonts w:hint="eastAsia" w:ascii="宋体" w:hAnsi="宋体" w:eastAsia="宋体" w:cs="宋体"/>
          <w:color w:val="000000"/>
          <w:kern w:val="0"/>
          <w:sz w:val="24"/>
        </w:rPr>
        <w:t>。　　　　　　</w:t>
      </w:r>
    </w:p>
    <w:p>
      <w:pPr>
        <w:widowControl/>
        <w:shd w:val="clear" w:color="auto" w:fill="FFFFFF"/>
        <w:jc w:val="left"/>
        <w:rPr>
          <w:rFonts w:ascii="宋体" w:hAnsi="宋体" w:eastAsia="宋体" w:cs="宋体"/>
          <w:color w:val="000000"/>
          <w:kern w:val="0"/>
          <w:sz w:val="24"/>
        </w:rPr>
      </w:pPr>
      <w:r>
        <w:rPr>
          <w:rFonts w:hint="eastAsia" w:ascii="宋体" w:hAnsi="宋体" w:eastAsia="宋体" w:cs="宋体"/>
          <w:color w:val="000000"/>
          <w:kern w:val="0"/>
          <w:sz w:val="24"/>
        </w:rPr>
        <w:t>　</w:t>
      </w:r>
      <w:r>
        <w:rPr>
          <w:rFonts w:ascii="宋体" w:hAnsi="宋体" w:eastAsia="宋体" w:cs="宋体"/>
          <w:color w:val="000000"/>
          <w:kern w:val="0"/>
          <w:sz w:val="24"/>
        </w:rPr>
        <w:t> </w:t>
      </w:r>
      <w:r>
        <w:rPr>
          <w:rFonts w:hint="eastAsia" w:ascii="宋体" w:hAnsi="宋体" w:eastAsia="宋体" w:cs="宋体"/>
          <w:color w:val="000000"/>
          <w:kern w:val="0"/>
          <w:sz w:val="24"/>
        </w:rPr>
        <w:t>　　　　　　　</w:t>
      </w:r>
    </w:p>
    <w:p>
      <w:pPr>
        <w:widowControl/>
        <w:shd w:val="clear" w:color="auto" w:fill="FFFFFF"/>
        <w:jc w:val="left"/>
        <w:rPr>
          <w:rFonts w:ascii="宋体" w:hAnsi="宋体" w:eastAsia="宋体" w:cs="宋体"/>
          <w:color w:val="000000"/>
          <w:kern w:val="0"/>
          <w:sz w:val="24"/>
        </w:rPr>
      </w:pPr>
      <w:r>
        <w:rPr>
          <w:rFonts w:hint="eastAsia" w:ascii="宋体" w:hAnsi="宋体" w:eastAsia="宋体" w:cs="宋体"/>
          <w:color w:val="000000"/>
          <w:kern w:val="0"/>
          <w:sz w:val="24"/>
        </w:rPr>
        <w:t>报名联系人：</w:t>
      </w:r>
      <w:r>
        <w:rPr>
          <w:rFonts w:hint="eastAsia" w:ascii="宋体" w:hAnsi="宋体" w:eastAsia="宋体" w:cs="宋体"/>
          <w:color w:val="000000"/>
          <w:kern w:val="0"/>
          <w:sz w:val="24"/>
          <w:lang w:eastAsia="zh-CN"/>
        </w:rPr>
        <w:t>黄</w:t>
      </w:r>
      <w:r>
        <w:rPr>
          <w:rFonts w:hint="eastAsia" w:ascii="宋体" w:hAnsi="宋体" w:eastAsia="宋体" w:cs="宋体"/>
          <w:color w:val="000000"/>
          <w:kern w:val="0"/>
          <w:sz w:val="24"/>
        </w:rPr>
        <w:t>老师</w:t>
      </w:r>
      <w:r>
        <w:rPr>
          <w:rFonts w:ascii="宋体" w:hAnsi="宋体" w:eastAsia="宋体" w:cs="宋体"/>
          <w:color w:val="000000"/>
          <w:kern w:val="0"/>
          <w:sz w:val="24"/>
        </w:rPr>
        <w:t> </w:t>
      </w:r>
      <w:r>
        <w:rPr>
          <w:rFonts w:hint="eastAsia" w:ascii="宋体" w:hAnsi="宋体" w:eastAsia="宋体" w:cs="宋体"/>
          <w:color w:val="000000"/>
          <w:kern w:val="0"/>
          <w:sz w:val="24"/>
        </w:rPr>
        <w:t>联系电话：</w:t>
      </w:r>
      <w:r>
        <w:rPr>
          <w:rFonts w:hint="eastAsia" w:ascii="宋体" w:hAnsi="宋体" w:eastAsia="宋体" w:cs="宋体"/>
          <w:color w:val="000000"/>
          <w:kern w:val="0"/>
          <w:sz w:val="24"/>
          <w:lang w:val="en-US" w:eastAsia="zh-CN"/>
        </w:rPr>
        <w:t>18615729557</w:t>
      </w:r>
      <w:r>
        <w:rPr>
          <w:rFonts w:hint="eastAsia" w:ascii="宋体" w:hAnsi="宋体" w:eastAsia="宋体" w:cs="宋体"/>
          <w:color w:val="000000"/>
          <w:kern w:val="0"/>
          <w:sz w:val="24"/>
        </w:rPr>
        <w:t>（建议短信报名）</w:t>
      </w:r>
    </w:p>
    <w:p>
      <w:pPr>
        <w:widowControl/>
        <w:shd w:val="clear" w:color="auto" w:fill="FFFFFF"/>
        <w:jc w:val="left"/>
        <w:rPr>
          <w:rFonts w:ascii="宋体" w:hAnsi="宋体" w:eastAsia="宋体" w:cs="宋体"/>
          <w:color w:val="000000"/>
          <w:kern w:val="0"/>
          <w:sz w:val="24"/>
        </w:rPr>
      </w:pPr>
      <w:r>
        <w:rPr>
          <w:rFonts w:hint="eastAsia" w:ascii="宋体" w:hAnsi="宋体" w:eastAsia="宋体" w:cs="宋体"/>
          <w:color w:val="000000"/>
          <w:kern w:val="0"/>
          <w:sz w:val="24"/>
        </w:rPr>
        <w:t>邮</w:t>
      </w:r>
      <w:r>
        <w:rPr>
          <w:rFonts w:ascii="宋体" w:hAnsi="宋体" w:eastAsia="宋体" w:cs="宋体"/>
          <w:color w:val="000000"/>
          <w:kern w:val="0"/>
          <w:sz w:val="24"/>
        </w:rPr>
        <w:t>    </w:t>
      </w:r>
      <w:r>
        <w:rPr>
          <w:rFonts w:hint="eastAsia" w:ascii="宋体" w:hAnsi="宋体" w:eastAsia="宋体" w:cs="宋体"/>
          <w:color w:val="000000"/>
          <w:kern w:val="0"/>
          <w:sz w:val="24"/>
        </w:rPr>
        <w:t>编：</w:t>
      </w:r>
      <w:r>
        <w:rPr>
          <w:rFonts w:ascii="宋体" w:hAnsi="宋体" w:eastAsia="宋体" w:cs="宋体"/>
          <w:color w:val="000000"/>
          <w:kern w:val="0"/>
          <w:sz w:val="24"/>
        </w:rPr>
        <w:t>644</w:t>
      </w:r>
      <w:r>
        <w:rPr>
          <w:rFonts w:hint="eastAsia" w:ascii="宋体" w:hAnsi="宋体" w:eastAsia="宋体" w:cs="宋体"/>
          <w:color w:val="000000"/>
          <w:kern w:val="0"/>
          <w:sz w:val="24"/>
        </w:rPr>
        <w:t>1</w:t>
      </w:r>
      <w:r>
        <w:rPr>
          <w:rFonts w:hint="eastAsia" w:ascii="宋体" w:hAnsi="宋体" w:eastAsia="宋体" w:cs="宋体"/>
          <w:color w:val="000000"/>
          <w:kern w:val="0"/>
          <w:sz w:val="24"/>
          <w:lang w:val="en-US" w:eastAsia="zh-CN"/>
        </w:rPr>
        <w:t>1</w:t>
      </w:r>
      <w:r>
        <w:rPr>
          <w:rFonts w:ascii="宋体" w:hAnsi="宋体" w:eastAsia="宋体" w:cs="宋体"/>
          <w:color w:val="000000"/>
          <w:kern w:val="0"/>
          <w:sz w:val="24"/>
        </w:rPr>
        <w:t>0</w:t>
      </w:r>
      <w:r>
        <w:rPr>
          <w:rFonts w:hint="eastAsia" w:ascii="宋体" w:hAnsi="宋体" w:eastAsia="宋体" w:cs="宋体"/>
          <w:color w:val="000000"/>
          <w:kern w:val="0"/>
          <w:sz w:val="24"/>
        </w:rPr>
        <w:t>　　　　　　</w:t>
      </w:r>
    </w:p>
    <w:p>
      <w:pPr>
        <w:pStyle w:val="2"/>
        <w:rPr>
          <w:rFonts w:ascii="宋体" w:hAnsi="宋体" w:eastAsia="宋体" w:cs="宋体"/>
          <w:b/>
          <w:bCs/>
          <w:kern w:val="0"/>
          <w:sz w:val="27"/>
          <w:szCs w:val="27"/>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D97BC5"/>
    <w:multiLevelType w:val="singleLevel"/>
    <w:tmpl w:val="A3D97BC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FF41E9"/>
    <w:rsid w:val="00172679"/>
    <w:rsid w:val="00432749"/>
    <w:rsid w:val="0058572F"/>
    <w:rsid w:val="005B3936"/>
    <w:rsid w:val="007C72D5"/>
    <w:rsid w:val="009A3D57"/>
    <w:rsid w:val="012A07A5"/>
    <w:rsid w:val="22506244"/>
    <w:rsid w:val="567F4CC8"/>
    <w:rsid w:val="58FF41E9"/>
    <w:rsid w:val="7FF31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5"/>
    <w:basedOn w:val="1"/>
    <w:next w:val="1"/>
    <w:link w:val="9"/>
    <w:qFormat/>
    <w:uiPriority w:val="1"/>
    <w:pPr>
      <w:autoSpaceDE w:val="0"/>
      <w:autoSpaceDN w:val="0"/>
      <w:ind w:left="1183"/>
      <w:jc w:val="left"/>
      <w:outlineLvl w:val="4"/>
    </w:pPr>
    <w:rPr>
      <w:rFonts w:ascii="宋体" w:hAnsi="宋体" w:eastAsia="宋体" w:cs="宋体"/>
      <w:b/>
      <w:bCs/>
      <w:kern w:val="0"/>
      <w:sz w:val="24"/>
      <w:lang w:val="zh-CN" w:bidi="zh-CN"/>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tabs>
        <w:tab w:val="left" w:pos="0"/>
      </w:tabs>
    </w:pPr>
  </w:style>
  <w:style w:type="paragraph" w:styleId="4">
    <w:name w:val="Normal Indent"/>
    <w:basedOn w:val="1"/>
    <w:qFormat/>
    <w:uiPriority w:val="0"/>
    <w:pPr>
      <w:ind w:firstLine="420" w:firstLineChars="200"/>
    </w:pPr>
  </w:style>
  <w:style w:type="paragraph" w:styleId="5">
    <w:name w:val="Normal (Web)"/>
    <w:basedOn w:val="1"/>
    <w:unhideWhenUsed/>
    <w:qFormat/>
    <w:uiPriority w:val="99"/>
    <w:pPr>
      <w:spacing w:beforeAutospacing="1" w:afterAutospacing="1"/>
      <w:jc w:val="left"/>
    </w:pPr>
    <w:rPr>
      <w:rFonts w:cs="Times New Roman"/>
      <w:kern w:val="0"/>
      <w:sz w:val="24"/>
    </w:rPr>
  </w:style>
  <w:style w:type="paragraph" w:customStyle="1" w:styleId="8">
    <w:name w:val="Table Paragraph"/>
    <w:basedOn w:val="1"/>
    <w:qFormat/>
    <w:uiPriority w:val="1"/>
    <w:rPr>
      <w:rFonts w:ascii="宋体" w:hAnsi="宋体" w:eastAsia="宋体" w:cs="宋体"/>
      <w:lang w:val="zh-CN" w:bidi="zh-CN"/>
    </w:rPr>
  </w:style>
  <w:style w:type="character" w:customStyle="1" w:styleId="9">
    <w:name w:val="标题 5 字符"/>
    <w:basedOn w:val="7"/>
    <w:link w:val="3"/>
    <w:qFormat/>
    <w:uiPriority w:val="1"/>
    <w:rPr>
      <w:rFonts w:ascii="宋体" w:hAnsi="宋体" w:eastAsia="宋体" w:cs="宋体"/>
      <w:b/>
      <w:bCs/>
      <w:sz w:val="24"/>
      <w:szCs w:val="24"/>
      <w:lang w:val="zh-CN" w:bidi="zh-CN"/>
    </w:rPr>
  </w:style>
  <w:style w:type="paragraph" w:styleId="10">
    <w:name w:val="List Paragraph"/>
    <w:basedOn w:val="1"/>
    <w:qFormat/>
    <w:uiPriority w:val="1"/>
    <w:pPr>
      <w:autoSpaceDE w:val="0"/>
      <w:autoSpaceDN w:val="0"/>
      <w:ind w:left="701" w:right="773" w:firstLine="480"/>
      <w:jc w:val="left"/>
    </w:pPr>
    <w:rPr>
      <w:rFonts w:ascii="宋体" w:hAnsi="宋体" w:eastAsia="宋体" w:cs="宋体"/>
      <w:kern w:val="0"/>
      <w:sz w:val="22"/>
      <w:szCs w:val="22"/>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4773</Words>
  <Characters>5052</Characters>
  <Lines>38</Lines>
  <Paragraphs>10</Paragraphs>
  <TotalTime>0</TotalTime>
  <ScaleCrop>false</ScaleCrop>
  <LinksUpToDate>false</LinksUpToDate>
  <CharactersWithSpaces>5338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2022-04-12T15:11:00Z</dcterms:created>
  <dc:creator>Li.ya</dc:creator>
  <cp:lastModifiedBy>Administrator</cp:lastModifiedBy>
  <dcterms:modified xsi:type="dcterms:W3CDTF">2022-04-14T08:16:19Z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5AD298B64F374C04BD37162557A49FD6</vt:lpwstr>
  </property>
</Properties>
</file>